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C00" w:rsidRDefault="00D36C00" w:rsidP="00D36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</w:pPr>
      <w:r w:rsidRPr="00D36C00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К вопросу о резервах повышения бюджетного потенциала</w:t>
      </w:r>
    </w:p>
    <w:p w:rsidR="009739B2" w:rsidRPr="00D36C00" w:rsidRDefault="00D36C00" w:rsidP="00D36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</w:pPr>
      <w:r w:rsidRPr="00D36C00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муниципал</w:t>
      </w:r>
      <w:r w:rsidRPr="00D36C00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ь</w:t>
      </w:r>
      <w:r w:rsidRPr="00D36C00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ных</w:t>
      </w:r>
      <w:r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 </w:t>
      </w:r>
      <w:r w:rsidRPr="00D36C00">
        <w:rPr>
          <w:rFonts w:ascii="Times New Roman" w:eastAsia="Times New Roman" w:hAnsi="Times New Roman" w:cs="Times New Roman"/>
          <w:b/>
          <w:color w:val="1D1D1D"/>
          <w:sz w:val="28"/>
          <w:szCs w:val="28"/>
          <w:lang w:eastAsia="ru-RU"/>
        </w:rPr>
        <w:t>образований</w:t>
      </w:r>
    </w:p>
    <w:p w:rsidR="00D36C00" w:rsidRPr="00D36C00" w:rsidRDefault="00D36C00" w:rsidP="00D36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1D1D1D"/>
          <w:sz w:val="28"/>
          <w:szCs w:val="28"/>
          <w:lang w:eastAsia="ru-RU"/>
        </w:rPr>
      </w:pPr>
      <w:proofErr w:type="spellStart"/>
      <w:r w:rsidRPr="00D36C00">
        <w:rPr>
          <w:rFonts w:ascii="Times New Roman" w:eastAsia="Times New Roman" w:hAnsi="Times New Roman" w:cs="Times New Roman"/>
          <w:i/>
          <w:color w:val="1D1D1D"/>
          <w:sz w:val="28"/>
          <w:szCs w:val="28"/>
          <w:lang w:eastAsia="ru-RU"/>
        </w:rPr>
        <w:t>Печенская</w:t>
      </w:r>
      <w:proofErr w:type="spellEnd"/>
      <w:r w:rsidRPr="00D36C00">
        <w:rPr>
          <w:rFonts w:ascii="Times New Roman" w:eastAsia="Times New Roman" w:hAnsi="Times New Roman" w:cs="Times New Roman"/>
          <w:i/>
          <w:color w:val="1D1D1D"/>
          <w:sz w:val="28"/>
          <w:szCs w:val="28"/>
          <w:lang w:eastAsia="ru-RU"/>
        </w:rPr>
        <w:t xml:space="preserve"> Мария Александровна</w:t>
      </w:r>
    </w:p>
    <w:p w:rsidR="00D36C00" w:rsidRDefault="00D36C00" w:rsidP="00D36C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В связи с процессом децентрализации управления в Российской Федерации устойчивое состояние входящих в ее состав 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муниципальных образований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станови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т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ся одним из ключевых элементов поступательного социально-экономического ра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з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вития страны.</w:t>
      </w:r>
    </w:p>
    <w:p w:rsidR="00D36C00" w:rsidRDefault="00D36C00" w:rsidP="00D36C00">
      <w:pPr>
        <w:spacing w:after="0" w:line="36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Реформирование системы местного самоуправления, осуществляемое на о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новании закона № 131-ФЗ «Об общих принципах организации местного самоупра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ления в РФ» и призванное унифицировать его территориальную организацию и ра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з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граничить полномочия между уровнями власти, до сих пор не создало достаточной финансово-экономической основы  для функционир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ования местного самоуправл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ния. 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Доходная база муниципалитетов 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Вологодской области 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после реформы местного самоуправления 2003 г. снизилась практически в 3,3 раза, рост расходных полном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чий повлек увеличение трансфертной зависимости местных бюджетов от вышест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</w:t>
      </w:r>
      <w:r w:rsidRPr="00E66012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ящего уровня в 5 раз. Удельный вес безвозмездных поступлений в доходах местных бюджетов за последнее десятилетие превысил 55%, при этом он имел тенденцию к росту.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Данные тенденции носят общероссийский характер. Преодоление бюджетн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го кризиса местных бюджетных систем требует новых задач в области управления муниципальным развитием. </w:t>
      </w:r>
    </w:p>
    <w:p w:rsidR="009739B2" w:rsidRDefault="00D36C00" w:rsidP="00D36C0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Исследование </w:t>
      </w:r>
      <w:r w:rsidR="004607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резерв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ов</w:t>
      </w:r>
      <w:r w:rsidR="004607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47CA" w:rsidRPr="009739B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укреплени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</w:t>
      </w:r>
      <w:r w:rsidR="004147CA" w:rsidRPr="009739B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 повышени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</w:t>
      </w:r>
      <w:r w:rsidR="004147CA" w:rsidRPr="009739B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бюджетного </w:t>
      </w:r>
      <w:r w:rsidR="004147CA" w:rsidRPr="009739B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тенциала м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</w:t>
      </w:r>
      <w:r w:rsidR="004147C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ниципальных бюджетов</w:t>
      </w: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Вологодской области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позволило определить 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объем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возмо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ного увеличения доходных поступлений на 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1,7-3,3 </w:t>
      </w:r>
      <w:r w:rsidR="00304673" w:rsidRPr="0055594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млрд. руб., 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или 14,1-27,7% </w:t>
      </w:r>
      <w:r w:rsidR="00304673" w:rsidRPr="0055594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</w:t>
      </w:r>
      <w:r w:rsidR="00304673" w:rsidRPr="0055594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</w:t>
      </w:r>
      <w:r w:rsidR="00304673" w:rsidRPr="0055594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ственны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</w:t>
      </w:r>
      <w:r w:rsidR="00304673" w:rsidRPr="0055594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доход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ов местных бюджетов Вологодской области </w:t>
      </w:r>
      <w:r w:rsidR="00512B9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(та</w:t>
      </w:r>
      <w:r w:rsidR="00512B9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</w:t>
      </w:r>
      <w:r w:rsidR="00512B9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лица</w:t>
      </w:r>
      <w:r w:rsid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512B9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</w:t>
      </w:r>
      <w:r w:rsidR="003046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5F1850" w:rsidRDefault="005F1850" w:rsidP="00AE5F2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5F1850" w:rsidRDefault="005F1850" w:rsidP="00AE5F2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04673" w:rsidRDefault="00461E3A" w:rsidP="00AE5F2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4673" w:rsidRDefault="00304673" w:rsidP="00AE5F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304673" w:rsidSect="00304673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9D5B75" w:rsidRDefault="009065D6" w:rsidP="009D5B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5F1850">
        <w:rPr>
          <w:rFonts w:ascii="Times New Roman" w:hAnsi="Times New Roman" w:cs="Times New Roman"/>
          <w:sz w:val="24"/>
          <w:szCs w:val="24"/>
        </w:rPr>
        <w:t xml:space="preserve">1 </w:t>
      </w:r>
    </w:p>
    <w:p w:rsidR="00A555DC" w:rsidRPr="009D5B75" w:rsidRDefault="00512B9A" w:rsidP="009D5B7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B75">
        <w:rPr>
          <w:rFonts w:ascii="Times New Roman" w:hAnsi="Times New Roman" w:cs="Times New Roman"/>
          <w:b/>
          <w:sz w:val="24"/>
          <w:szCs w:val="24"/>
        </w:rPr>
        <w:t>Мероприятия, направленные на расширение бюджетного потенциала муниципальных образований</w:t>
      </w:r>
      <w:r w:rsidR="00867A5A" w:rsidRPr="009D5B75">
        <w:rPr>
          <w:rFonts w:ascii="Times New Roman" w:hAnsi="Times New Roman" w:cs="Times New Roman"/>
          <w:b/>
          <w:sz w:val="24"/>
          <w:szCs w:val="24"/>
        </w:rPr>
        <w:t xml:space="preserve"> Вологодской области</w:t>
      </w:r>
    </w:p>
    <w:tbl>
      <w:tblPr>
        <w:tblStyle w:val="a6"/>
        <w:tblW w:w="4990" w:type="pct"/>
        <w:tblLayout w:type="fixed"/>
        <w:tblLook w:val="04A0" w:firstRow="1" w:lastRow="0" w:firstColumn="1" w:lastColumn="0" w:noHBand="0" w:noVBand="1"/>
      </w:tblPr>
      <w:tblGrid>
        <w:gridCol w:w="1525"/>
        <w:gridCol w:w="7798"/>
        <w:gridCol w:w="1275"/>
        <w:gridCol w:w="1600"/>
        <w:gridCol w:w="1284"/>
        <w:gridCol w:w="1839"/>
      </w:tblGrid>
      <w:tr w:rsidR="002B641C" w:rsidRPr="00304673" w:rsidTr="00304673">
        <w:trPr>
          <w:trHeight w:val="126"/>
        </w:trPr>
        <w:tc>
          <w:tcPr>
            <w:tcW w:w="498" w:type="pct"/>
            <w:vMerge w:val="restar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2545" w:type="pct"/>
            <w:vMerge w:val="restart"/>
            <w:vAlign w:val="center"/>
          </w:tcPr>
          <w:p w:rsidR="00DF4B26" w:rsidRPr="00304673" w:rsidRDefault="004147CA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Обоснование</w:t>
            </w:r>
          </w:p>
        </w:tc>
        <w:tc>
          <w:tcPr>
            <w:tcW w:w="416" w:type="pct"/>
            <w:vMerge w:val="restart"/>
            <w:vAlign w:val="center"/>
          </w:tcPr>
          <w:p w:rsidR="002B641C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Фактич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ское знач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 xml:space="preserve">ние 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показателя</w:t>
            </w:r>
          </w:p>
        </w:tc>
        <w:tc>
          <w:tcPr>
            <w:tcW w:w="522" w:type="pct"/>
            <w:vMerge w:val="restart"/>
            <w:vAlign w:val="center"/>
          </w:tcPr>
          <w:p w:rsidR="00DF4B26" w:rsidRPr="00304673" w:rsidRDefault="00DF4B26" w:rsidP="00304673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Предлагаемый вариант</w:t>
            </w:r>
            <w:r w:rsidR="002B641C" w:rsidRPr="00304673">
              <w:rPr>
                <w:rFonts w:ascii="Times New Roman" w:hAnsi="Times New Roman" w:cs="Times New Roman"/>
              </w:rPr>
              <w:t xml:space="preserve"> </w:t>
            </w:r>
            <w:r w:rsidRPr="00304673">
              <w:rPr>
                <w:rFonts w:ascii="Times New Roman" w:hAnsi="Times New Roman" w:cs="Times New Roman"/>
              </w:rPr>
              <w:t>/ Д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полнительный резерв</w:t>
            </w:r>
          </w:p>
        </w:tc>
        <w:tc>
          <w:tcPr>
            <w:tcW w:w="1019" w:type="pct"/>
            <w:gridSpan w:val="2"/>
            <w:vAlign w:val="center"/>
          </w:tcPr>
          <w:p w:rsidR="00DF4B26" w:rsidRPr="00304673" w:rsidRDefault="004147CA" w:rsidP="004147CA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Бюджетный эффект</w:t>
            </w:r>
          </w:p>
        </w:tc>
      </w:tr>
      <w:tr w:rsidR="002B641C" w:rsidRPr="00304673" w:rsidTr="00304673">
        <w:tc>
          <w:tcPr>
            <w:tcW w:w="498" w:type="pct"/>
            <w:vMerge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5" w:type="pct"/>
            <w:vMerge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Merge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Align w:val="center"/>
          </w:tcPr>
          <w:p w:rsidR="00DF4B26" w:rsidRPr="00304673" w:rsidRDefault="00DF4B26" w:rsidP="00304673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млн. руб. в</w:t>
            </w:r>
            <w:r w:rsidR="00304673" w:rsidRPr="00304673">
              <w:rPr>
                <w:rFonts w:ascii="Times New Roman" w:hAnsi="Times New Roman" w:cs="Times New Roman"/>
              </w:rPr>
              <w:t> </w:t>
            </w:r>
            <w:r w:rsidRPr="00304673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600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% от собственных доходов местных 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бюджетов</w:t>
            </w:r>
          </w:p>
        </w:tc>
      </w:tr>
      <w:tr w:rsidR="002B641C" w:rsidRPr="00304673" w:rsidTr="00304673">
        <w:tc>
          <w:tcPr>
            <w:tcW w:w="498" w:type="pct"/>
            <w:vAlign w:val="center"/>
          </w:tcPr>
          <w:p w:rsidR="004147CA" w:rsidRPr="00304673" w:rsidRDefault="004147CA" w:rsidP="004147CA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Закрепление за местными бюджетами дополнител</w:t>
            </w:r>
            <w:r w:rsidRPr="00304673">
              <w:rPr>
                <w:rFonts w:ascii="Times New Roman" w:hAnsi="Times New Roman" w:cs="Times New Roman"/>
              </w:rPr>
              <w:t>ь</w:t>
            </w:r>
            <w:r w:rsidRPr="00304673">
              <w:rPr>
                <w:rFonts w:ascii="Times New Roman" w:hAnsi="Times New Roman" w:cs="Times New Roman"/>
              </w:rPr>
              <w:t>ных нормат</w:t>
            </w:r>
            <w:r w:rsidRPr="00304673">
              <w:rPr>
                <w:rFonts w:ascii="Times New Roman" w:hAnsi="Times New Roman" w:cs="Times New Roman"/>
              </w:rPr>
              <w:t>и</w:t>
            </w:r>
            <w:r w:rsidRPr="00304673">
              <w:rPr>
                <w:rFonts w:ascii="Times New Roman" w:hAnsi="Times New Roman" w:cs="Times New Roman"/>
              </w:rPr>
              <w:t>вов отчисл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ний по нал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гам на сов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купный доход (по налогу, взимаемому в связи с прим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нением УСН)</w:t>
            </w:r>
          </w:p>
        </w:tc>
        <w:tc>
          <w:tcPr>
            <w:tcW w:w="2545" w:type="pct"/>
            <w:vAlign w:val="center"/>
          </w:tcPr>
          <w:p w:rsidR="002B641C" w:rsidRPr="00304673" w:rsidRDefault="002B641C" w:rsidP="002B641C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Нормами ФЗ № 131 </w:t>
            </w:r>
            <w:r w:rsidR="00E17253">
              <w:rPr>
                <w:rFonts w:ascii="Times New Roman" w:hAnsi="Times New Roman" w:cs="Times New Roman"/>
              </w:rPr>
              <w:t>«Об общих принципах организации местного самоуправл</w:t>
            </w:r>
            <w:r w:rsidR="00E17253">
              <w:rPr>
                <w:rFonts w:ascii="Times New Roman" w:hAnsi="Times New Roman" w:cs="Times New Roman"/>
              </w:rPr>
              <w:t>е</w:t>
            </w:r>
            <w:r w:rsidR="00E17253">
              <w:rPr>
                <w:rFonts w:ascii="Times New Roman" w:hAnsi="Times New Roman" w:cs="Times New Roman"/>
              </w:rPr>
              <w:t xml:space="preserve">ния в РФ» </w:t>
            </w:r>
            <w:r w:rsidRPr="00304673">
              <w:rPr>
                <w:rFonts w:ascii="Times New Roman" w:hAnsi="Times New Roman" w:cs="Times New Roman"/>
              </w:rPr>
              <w:t xml:space="preserve">к вопросам местного значения муниципальных образований отнесены вопросы по поддержке и развитию малого и среднего предпринимательства. Действительно, именно на местном уровне возможно наиболее эффективное применение механизмов финансовой и имущественной поддержки бизнеса. </w:t>
            </w:r>
          </w:p>
          <w:p w:rsidR="00D71A1F" w:rsidRPr="00304673" w:rsidRDefault="002B641C" w:rsidP="002B641C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Однако возможность поддержки развития субъектов предпринимательства за счёт их администрирования у местной власти весьма ограничена в силу слабой значимости данных поступлений в местных бюджетах. В современных условиях важно создать систему стимулирования развития малого и среднего предприн</w:t>
            </w:r>
            <w:r w:rsidRPr="00304673">
              <w:rPr>
                <w:rFonts w:ascii="Times New Roman" w:hAnsi="Times New Roman" w:cs="Times New Roman"/>
              </w:rPr>
              <w:t>и</w:t>
            </w:r>
            <w:r w:rsidRPr="00304673">
              <w:rPr>
                <w:rFonts w:ascii="Times New Roman" w:hAnsi="Times New Roman" w:cs="Times New Roman"/>
              </w:rPr>
              <w:t xml:space="preserve">мательства, а также совершенствования системы его налогообложения за счёт закрепления за местными бюджетами дополнительных налоговых доходов. В настоящее время в Вологодской области существуют следующие нормативы отчислений от налогов на совокупный доход: </w:t>
            </w:r>
            <w:r w:rsidR="00D71A1F" w:rsidRPr="00304673">
              <w:rPr>
                <w:rFonts w:ascii="Times New Roman" w:hAnsi="Times New Roman" w:cs="Times New Roman"/>
              </w:rPr>
              <w:t>муниципальные районы: 100% ЕНВД, 50-100% ЕСХН; городские округа: 100% ЕНВД, 100% ЕСХН, 100% в связи с применением патентной системы налогообложения; поселения: 30-50% ЕСХН.</w:t>
            </w:r>
            <w:r w:rsidR="00304673" w:rsidRPr="00304673">
              <w:rPr>
                <w:rFonts w:ascii="Times New Roman" w:hAnsi="Times New Roman" w:cs="Times New Roman"/>
              </w:rPr>
              <w:t xml:space="preserve"> </w:t>
            </w:r>
            <w:r w:rsidR="00D71A1F" w:rsidRPr="00304673">
              <w:rPr>
                <w:rFonts w:ascii="Times New Roman" w:hAnsi="Times New Roman" w:cs="Times New Roman"/>
              </w:rPr>
              <w:t>Остальной норматив зачисляется в региональный бюджет.</w:t>
            </w:r>
          </w:p>
          <w:p w:rsidR="004147CA" w:rsidRPr="00304673" w:rsidRDefault="004147CA" w:rsidP="00960DDC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Объем поступлений </w:t>
            </w:r>
            <w:r w:rsidR="00D71A1F" w:rsidRPr="00304673">
              <w:rPr>
                <w:rFonts w:ascii="Times New Roman" w:hAnsi="Times New Roman" w:cs="Times New Roman"/>
              </w:rPr>
              <w:t xml:space="preserve">в региональный бюджет </w:t>
            </w:r>
            <w:r w:rsidRPr="00304673">
              <w:rPr>
                <w:rFonts w:ascii="Times New Roman" w:hAnsi="Times New Roman" w:cs="Times New Roman"/>
              </w:rPr>
              <w:t>данн</w:t>
            </w:r>
            <w:r w:rsidR="00D71A1F" w:rsidRPr="00304673">
              <w:rPr>
                <w:rFonts w:ascii="Times New Roman" w:hAnsi="Times New Roman" w:cs="Times New Roman"/>
              </w:rPr>
              <w:t>ых</w:t>
            </w:r>
            <w:r w:rsidRPr="00304673">
              <w:rPr>
                <w:rFonts w:ascii="Times New Roman" w:hAnsi="Times New Roman" w:cs="Times New Roman"/>
              </w:rPr>
              <w:t xml:space="preserve"> налог</w:t>
            </w:r>
            <w:r w:rsidR="00D71A1F" w:rsidRPr="00304673">
              <w:rPr>
                <w:rFonts w:ascii="Times New Roman" w:hAnsi="Times New Roman" w:cs="Times New Roman"/>
              </w:rPr>
              <w:t>ов</w:t>
            </w:r>
            <w:r w:rsidRPr="00304673">
              <w:rPr>
                <w:rFonts w:ascii="Times New Roman" w:hAnsi="Times New Roman" w:cs="Times New Roman"/>
              </w:rPr>
              <w:t xml:space="preserve"> состав</w:t>
            </w:r>
            <w:r w:rsidR="00D71A1F" w:rsidRPr="00304673">
              <w:rPr>
                <w:rFonts w:ascii="Times New Roman" w:hAnsi="Times New Roman" w:cs="Times New Roman"/>
              </w:rPr>
              <w:t>и</w:t>
            </w:r>
            <w:r w:rsidRPr="00304673">
              <w:rPr>
                <w:rFonts w:ascii="Times New Roman" w:hAnsi="Times New Roman" w:cs="Times New Roman"/>
              </w:rPr>
              <w:t>л</w:t>
            </w:r>
            <w:r w:rsidR="00960DDC" w:rsidRPr="00304673">
              <w:rPr>
                <w:rFonts w:ascii="Times New Roman" w:hAnsi="Times New Roman" w:cs="Times New Roman"/>
              </w:rPr>
              <w:t xml:space="preserve">: </w:t>
            </w:r>
            <w:r w:rsidRPr="00304673">
              <w:rPr>
                <w:rFonts w:ascii="Times New Roman" w:hAnsi="Times New Roman" w:cs="Times New Roman"/>
              </w:rPr>
              <w:t>в 2013 г. – 720</w:t>
            </w:r>
            <w:r w:rsidR="00D71A1F" w:rsidRPr="00304673">
              <w:rPr>
                <w:rFonts w:ascii="Times New Roman" w:hAnsi="Times New Roman" w:cs="Times New Roman"/>
              </w:rPr>
              <w:t> </w:t>
            </w:r>
            <w:r w:rsidRPr="00304673">
              <w:rPr>
                <w:rFonts w:ascii="Times New Roman" w:hAnsi="Times New Roman" w:cs="Times New Roman"/>
              </w:rPr>
              <w:t xml:space="preserve">млн. руб., в 2014 г. – 1653 млн. руб., в 2015 году –1728 млн. руб. </w:t>
            </w:r>
          </w:p>
        </w:tc>
        <w:tc>
          <w:tcPr>
            <w:tcW w:w="416" w:type="pct"/>
            <w:vAlign w:val="center"/>
          </w:tcPr>
          <w:p w:rsidR="004147CA" w:rsidRPr="00304673" w:rsidRDefault="004147CA" w:rsidP="004147CA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Норматив </w:t>
            </w:r>
            <w:r w:rsidR="00D36C00">
              <w:rPr>
                <w:rFonts w:ascii="Times New Roman" w:hAnsi="Times New Roman" w:cs="Times New Roman"/>
              </w:rPr>
              <w:t>от 3</w:t>
            </w:r>
            <w:r w:rsidRPr="00304673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522" w:type="pct"/>
            <w:vAlign w:val="center"/>
          </w:tcPr>
          <w:p w:rsidR="004147CA" w:rsidRPr="00304673" w:rsidRDefault="00D71A1F" w:rsidP="004147CA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Норматив 10</w:t>
            </w:r>
            <w:r w:rsidR="004147CA" w:rsidRPr="00304673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419" w:type="pct"/>
            <w:vAlign w:val="center"/>
          </w:tcPr>
          <w:p w:rsidR="004147CA" w:rsidRPr="00304673" w:rsidRDefault="00D71A1F" w:rsidP="00D71A1F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720</w:t>
            </w:r>
            <w:r w:rsidR="004147CA" w:rsidRPr="00304673">
              <w:rPr>
                <w:rFonts w:ascii="Times New Roman" w:hAnsi="Times New Roman" w:cs="Times New Roman"/>
              </w:rPr>
              <w:t>-</w:t>
            </w:r>
            <w:r w:rsidRPr="00304673">
              <w:rPr>
                <w:rFonts w:ascii="Times New Roman" w:hAnsi="Times New Roman" w:cs="Times New Roman"/>
              </w:rPr>
              <w:t>1728</w:t>
            </w:r>
            <w:r w:rsidR="004147CA" w:rsidRPr="003046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00" w:type="pct"/>
            <w:vAlign w:val="center"/>
          </w:tcPr>
          <w:p w:rsidR="004147CA" w:rsidRPr="00304673" w:rsidRDefault="00D71A1F" w:rsidP="00D71A1F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6</w:t>
            </w:r>
            <w:r w:rsidR="004147CA" w:rsidRPr="00304673">
              <w:rPr>
                <w:rFonts w:ascii="Times New Roman" w:hAnsi="Times New Roman" w:cs="Times New Roman"/>
              </w:rPr>
              <w:t>,0-</w:t>
            </w:r>
            <w:r w:rsidRPr="00304673">
              <w:rPr>
                <w:rFonts w:ascii="Times New Roman" w:hAnsi="Times New Roman" w:cs="Times New Roman"/>
              </w:rPr>
              <w:t>14,6</w:t>
            </w:r>
          </w:p>
        </w:tc>
      </w:tr>
      <w:tr w:rsidR="002B641C" w:rsidRPr="00304673" w:rsidTr="00304673">
        <w:tc>
          <w:tcPr>
            <w:tcW w:w="498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Установление норматива отчислений по налогу на пр</w:t>
            </w:r>
            <w:r w:rsidRPr="00304673">
              <w:rPr>
                <w:rFonts w:ascii="Times New Roman" w:hAnsi="Times New Roman" w:cs="Times New Roman"/>
              </w:rPr>
              <w:t>и</w:t>
            </w:r>
            <w:r w:rsidRPr="00304673">
              <w:rPr>
                <w:rFonts w:ascii="Times New Roman" w:hAnsi="Times New Roman" w:cs="Times New Roman"/>
              </w:rPr>
              <w:t>быль до 10%</w:t>
            </w:r>
          </w:p>
        </w:tc>
        <w:tc>
          <w:tcPr>
            <w:tcW w:w="2545" w:type="pct"/>
            <w:vAlign w:val="center"/>
          </w:tcPr>
          <w:p w:rsidR="00DF4B26" w:rsidRPr="00304673" w:rsidRDefault="0068544A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С целью повышения заинтересованности муниципалитетов в развитии бизнеса на их территориях</w:t>
            </w:r>
            <w:r w:rsidR="00960DDC" w:rsidRPr="00304673">
              <w:rPr>
                <w:rFonts w:ascii="Times New Roman" w:hAnsi="Times New Roman" w:cs="Times New Roman"/>
              </w:rPr>
              <w:t>, а также</w:t>
            </w:r>
            <w:r w:rsidRPr="00304673">
              <w:rPr>
                <w:rFonts w:ascii="Times New Roman" w:hAnsi="Times New Roman" w:cs="Times New Roman"/>
              </w:rPr>
              <w:t xml:space="preserve"> </w:t>
            </w:r>
            <w:r w:rsidR="00C5393C" w:rsidRPr="00304673">
              <w:rPr>
                <w:rFonts w:ascii="Times New Roman" w:hAnsi="Times New Roman" w:cs="Times New Roman"/>
              </w:rPr>
              <w:t xml:space="preserve">увеличения вклада </w:t>
            </w:r>
            <w:r w:rsidRPr="00304673">
              <w:rPr>
                <w:rFonts w:ascii="Times New Roman" w:hAnsi="Times New Roman" w:cs="Times New Roman"/>
              </w:rPr>
              <w:t>предприяти</w:t>
            </w:r>
            <w:r w:rsidR="00C5393C" w:rsidRPr="00304673">
              <w:rPr>
                <w:rFonts w:ascii="Times New Roman" w:hAnsi="Times New Roman" w:cs="Times New Roman"/>
              </w:rPr>
              <w:t>й</w:t>
            </w:r>
            <w:r w:rsidRPr="00304673">
              <w:rPr>
                <w:rFonts w:ascii="Times New Roman" w:hAnsi="Times New Roman" w:cs="Times New Roman"/>
              </w:rPr>
              <w:t xml:space="preserve"> в формирование д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стойной среды обитания для своих работников.</w:t>
            </w:r>
            <w:r w:rsidR="00960DDC" w:rsidRPr="00304673">
              <w:rPr>
                <w:rFonts w:ascii="Times New Roman" w:hAnsi="Times New Roman" w:cs="Times New Roman"/>
              </w:rPr>
              <w:t xml:space="preserve"> </w:t>
            </w:r>
            <w:r w:rsidR="00DF4B26" w:rsidRPr="00304673">
              <w:rPr>
                <w:rFonts w:ascii="Times New Roman" w:hAnsi="Times New Roman" w:cs="Times New Roman"/>
              </w:rPr>
              <w:t>Объем поступлений налога на прибыль в бюджет региона состав</w:t>
            </w:r>
            <w:r w:rsidR="00960DDC" w:rsidRPr="00304673">
              <w:rPr>
                <w:rFonts w:ascii="Times New Roman" w:hAnsi="Times New Roman" w:cs="Times New Roman"/>
              </w:rPr>
              <w:t>ил: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в 2013 г. – 5957 млн. руб., 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в 2014 г. – 7582 млн. руб.,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в 2015 г. – 6549  млн. руб.</w:t>
            </w:r>
          </w:p>
        </w:tc>
        <w:tc>
          <w:tcPr>
            <w:tcW w:w="416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Норматив 0%</w:t>
            </w:r>
          </w:p>
        </w:tc>
        <w:tc>
          <w:tcPr>
            <w:tcW w:w="522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Норматив 10%</w:t>
            </w:r>
          </w:p>
        </w:tc>
        <w:tc>
          <w:tcPr>
            <w:tcW w:w="419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596-758 </w:t>
            </w:r>
          </w:p>
        </w:tc>
        <w:tc>
          <w:tcPr>
            <w:tcW w:w="600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5,0-6,4</w:t>
            </w:r>
          </w:p>
        </w:tc>
      </w:tr>
      <w:tr w:rsidR="002B641C" w:rsidRPr="00304673" w:rsidTr="00304673">
        <w:trPr>
          <w:trHeight w:val="403"/>
        </w:trPr>
        <w:tc>
          <w:tcPr>
            <w:tcW w:w="498" w:type="pct"/>
            <w:vAlign w:val="center"/>
          </w:tcPr>
          <w:p w:rsidR="00DF4B26" w:rsidRPr="00304673" w:rsidRDefault="00DF4B26" w:rsidP="00A141D2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Снижение задолженности по местным налогам в местные бю</w:t>
            </w:r>
            <w:r w:rsidRPr="00304673">
              <w:rPr>
                <w:rFonts w:ascii="Times New Roman" w:hAnsi="Times New Roman" w:cs="Times New Roman"/>
              </w:rPr>
              <w:t>д</w:t>
            </w:r>
            <w:r w:rsidRPr="00304673">
              <w:rPr>
                <w:rFonts w:ascii="Times New Roman" w:hAnsi="Times New Roman" w:cs="Times New Roman"/>
              </w:rPr>
              <w:t>же</w:t>
            </w:r>
            <w:r w:rsidR="00A141D2" w:rsidRPr="00304673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2545" w:type="pct"/>
            <w:vAlign w:val="center"/>
          </w:tcPr>
          <w:p w:rsidR="00E93A38" w:rsidRPr="00304673" w:rsidRDefault="00E93A38" w:rsidP="00C83A4B">
            <w:pPr>
              <w:spacing w:line="228" w:lineRule="auto"/>
              <w:ind w:left="-57" w:right="-57"/>
              <w:rPr>
                <w:rFonts w:ascii="Times New Roman" w:eastAsia="Calibri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Органы местного самоуправления </w:t>
            </w:r>
            <w:r w:rsidRPr="00304673">
              <w:rPr>
                <w:rFonts w:ascii="Times New Roman" w:eastAsia="Calibri" w:hAnsi="Times New Roman" w:cs="Times New Roman"/>
              </w:rPr>
              <w:t>имеют право косвенного влияния на налог</w:t>
            </w:r>
            <w:r w:rsidRPr="00304673">
              <w:rPr>
                <w:rFonts w:ascii="Times New Roman" w:eastAsia="Calibri" w:hAnsi="Times New Roman" w:cs="Times New Roman"/>
              </w:rPr>
              <w:t>о</w:t>
            </w:r>
            <w:r w:rsidRPr="00304673">
              <w:rPr>
                <w:rFonts w:ascii="Times New Roman" w:eastAsia="Calibri" w:hAnsi="Times New Roman" w:cs="Times New Roman"/>
              </w:rPr>
              <w:t xml:space="preserve">вую задолженность перед бюджетом. </w:t>
            </w:r>
          </w:p>
          <w:p w:rsidR="00E93A38" w:rsidRPr="00304673" w:rsidRDefault="00A141D2" w:rsidP="00E93A38">
            <w:pPr>
              <w:spacing w:line="228" w:lineRule="auto"/>
              <w:ind w:left="-57" w:right="-57"/>
              <w:rPr>
                <w:rStyle w:val="A10"/>
                <w:rFonts w:ascii="Times New Roman" w:hAnsi="Times New Roman" w:cs="Times New Roman"/>
                <w:sz w:val="22"/>
                <w:szCs w:val="22"/>
              </w:rPr>
            </w:pPr>
            <w:r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>Развитие</w:t>
            </w:r>
            <w:r w:rsidR="00E93A38"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 xml:space="preserve"> механизм</w:t>
            </w:r>
            <w:r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>а</w:t>
            </w:r>
            <w:r w:rsidR="00E93A38"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 xml:space="preserve"> привлечения физических лиц к ответственности за уклон</w:t>
            </w:r>
            <w:r w:rsidR="00E93A38"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>е</w:t>
            </w:r>
            <w:r w:rsidR="00E93A38"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>ние от регистрации имущественных прав на объекты недвижимости.</w:t>
            </w:r>
          </w:p>
          <w:p w:rsidR="00E93A38" w:rsidRPr="00304673" w:rsidRDefault="00E93A38" w:rsidP="00E93A38">
            <w:pPr>
              <w:spacing w:line="228" w:lineRule="auto"/>
              <w:ind w:left="-57" w:right="-57"/>
              <w:rPr>
                <w:rStyle w:val="A10"/>
                <w:rFonts w:ascii="Times New Roman" w:hAnsi="Times New Roman" w:cs="Times New Roman"/>
                <w:sz w:val="22"/>
                <w:szCs w:val="22"/>
              </w:rPr>
            </w:pPr>
            <w:r w:rsidRPr="00304673">
              <w:rPr>
                <w:rStyle w:val="A10"/>
                <w:rFonts w:ascii="Times New Roman" w:hAnsi="Times New Roman" w:cs="Times New Roman"/>
                <w:sz w:val="22"/>
                <w:szCs w:val="22"/>
              </w:rPr>
              <w:t>Разработка механизма налогообложения незавершённых объектов строительства.</w:t>
            </w:r>
          </w:p>
          <w:p w:rsidR="00E93A38" w:rsidRPr="00304673" w:rsidRDefault="00E93A38" w:rsidP="00A141D2">
            <w:pPr>
              <w:spacing w:line="228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304673">
              <w:rPr>
                <w:rFonts w:ascii="Times New Roman" w:hAnsi="Times New Roman" w:cs="Times New Roman"/>
              </w:rPr>
              <w:t>Введение в Налоговый кодекс РФ нормы об обязанности налоговых органов представлять в местные финансовые органы информацию о начисленных и уплаченных суммах налогов, задолженности и недоимки в разрезе налогопл</w:t>
            </w:r>
            <w:r w:rsidRPr="00304673">
              <w:rPr>
                <w:rFonts w:ascii="Times New Roman" w:hAnsi="Times New Roman" w:cs="Times New Roman"/>
              </w:rPr>
              <w:t>а</w:t>
            </w:r>
            <w:r w:rsidRPr="00304673">
              <w:rPr>
                <w:rFonts w:ascii="Times New Roman" w:hAnsi="Times New Roman" w:cs="Times New Roman"/>
              </w:rPr>
              <w:t xml:space="preserve">тельщиков, реструктуризированных платежей в разрезе отраслей экономики и </w:t>
            </w:r>
            <w:r w:rsidRPr="00304673">
              <w:rPr>
                <w:rFonts w:ascii="Times New Roman" w:hAnsi="Times New Roman" w:cs="Times New Roman"/>
              </w:rPr>
              <w:lastRenderedPageBreak/>
              <w:t xml:space="preserve">видов налогов. </w:t>
            </w:r>
            <w:r w:rsidRPr="00304673">
              <w:rPr>
                <w:rFonts w:ascii="Times New Roman" w:hAnsi="Times New Roman" w:cs="Times New Roman"/>
                <w:color w:val="000000"/>
              </w:rPr>
              <w:t xml:space="preserve">Разработка системы </w:t>
            </w:r>
            <w:r w:rsidRPr="00304673">
              <w:rPr>
                <w:rFonts w:ascii="Times New Roman" w:hAnsi="Times New Roman" w:cs="Times New Roman"/>
              </w:rPr>
              <w:t>статистических показателей, необходимых органам местного самоуправления для формирования информации по налоговым поступлениям и льготам.</w:t>
            </w:r>
          </w:p>
          <w:p w:rsidR="00C83A4B" w:rsidRPr="00304673" w:rsidRDefault="00E93A38" w:rsidP="00C83A4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З</w:t>
            </w:r>
            <w:r w:rsidR="00C83A4B" w:rsidRPr="00304673">
              <w:rPr>
                <w:rFonts w:ascii="Times New Roman" w:hAnsi="Times New Roman" w:cs="Times New Roman"/>
              </w:rPr>
              <w:t xml:space="preserve">акрепление в Налоговом Кодексе РФ минимальных предельных ставок </w:t>
            </w:r>
            <w:r w:rsidRPr="00304673">
              <w:rPr>
                <w:rFonts w:ascii="Times New Roman" w:hAnsi="Times New Roman" w:cs="Times New Roman"/>
              </w:rPr>
              <w:t>имущ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ственных налогов, зачисляемых в местный бюджет.</w:t>
            </w:r>
          </w:p>
          <w:p w:rsidR="00A141D2" w:rsidRPr="00304673" w:rsidRDefault="00A141D2" w:rsidP="00C83A4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Проведение работы по выявлению хозяйствующих субъектов (филиалов, пре</w:t>
            </w:r>
            <w:r w:rsidRPr="00304673">
              <w:rPr>
                <w:rFonts w:ascii="Times New Roman" w:hAnsi="Times New Roman" w:cs="Times New Roman"/>
              </w:rPr>
              <w:t>д</w:t>
            </w:r>
            <w:r w:rsidRPr="00304673">
              <w:rPr>
                <w:rFonts w:ascii="Times New Roman" w:hAnsi="Times New Roman" w:cs="Times New Roman"/>
              </w:rPr>
              <w:t>ставительств), имеющих рабочие места и осуществляющих деятельность на те</w:t>
            </w:r>
            <w:r w:rsidRPr="00304673">
              <w:rPr>
                <w:rFonts w:ascii="Times New Roman" w:hAnsi="Times New Roman" w:cs="Times New Roman"/>
              </w:rPr>
              <w:t>р</w:t>
            </w:r>
            <w:r w:rsidRPr="00304673">
              <w:rPr>
                <w:rFonts w:ascii="Times New Roman" w:hAnsi="Times New Roman" w:cs="Times New Roman"/>
              </w:rPr>
              <w:t>ритории муниципальных образований, но не перечисляющих налог на доходы физических лиц.</w:t>
            </w:r>
          </w:p>
          <w:p w:rsidR="00C83A4B" w:rsidRPr="00304673" w:rsidRDefault="00A141D2" w:rsidP="00C83A4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К</w:t>
            </w:r>
            <w:r w:rsidR="00C83A4B" w:rsidRPr="00304673">
              <w:rPr>
                <w:rFonts w:ascii="Times New Roman" w:hAnsi="Times New Roman" w:cs="Times New Roman"/>
              </w:rPr>
              <w:t>онтроль за миграцией юридических лиц с целью выявления организаций, ос</w:t>
            </w:r>
            <w:r w:rsidR="00C83A4B" w:rsidRPr="00304673">
              <w:rPr>
                <w:rFonts w:ascii="Times New Roman" w:hAnsi="Times New Roman" w:cs="Times New Roman"/>
              </w:rPr>
              <w:t>у</w:t>
            </w:r>
            <w:r w:rsidR="00C83A4B" w:rsidRPr="00304673">
              <w:rPr>
                <w:rFonts w:ascii="Times New Roman" w:hAnsi="Times New Roman" w:cs="Times New Roman"/>
              </w:rPr>
              <w:t xml:space="preserve">ществляющих деятельность на территории </w:t>
            </w:r>
            <w:r w:rsidRPr="00304673">
              <w:rPr>
                <w:rFonts w:ascii="Times New Roman" w:hAnsi="Times New Roman" w:cs="Times New Roman"/>
              </w:rPr>
              <w:t>региона</w:t>
            </w:r>
            <w:r w:rsidR="00C83A4B" w:rsidRPr="00304673">
              <w:rPr>
                <w:rFonts w:ascii="Times New Roman" w:hAnsi="Times New Roman" w:cs="Times New Roman"/>
              </w:rPr>
              <w:t xml:space="preserve"> без постановки на налоговый учёт.</w:t>
            </w:r>
          </w:p>
          <w:p w:rsidR="00DF4B26" w:rsidRPr="00304673" w:rsidRDefault="00DF4B26" w:rsidP="00C83A4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Сумма задолженности по местным налогам в местные бюджеты составляла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  <w:spacing w:val="-4"/>
              </w:rPr>
            </w:pPr>
            <w:r w:rsidRPr="00304673">
              <w:rPr>
                <w:rFonts w:ascii="Times New Roman" w:hAnsi="Times New Roman" w:cs="Times New Roman"/>
              </w:rPr>
              <w:t xml:space="preserve">в </w:t>
            </w:r>
            <w:r w:rsidRPr="00304673">
              <w:rPr>
                <w:rFonts w:ascii="Times New Roman" w:hAnsi="Times New Roman" w:cs="Times New Roman"/>
                <w:spacing w:val="-4"/>
              </w:rPr>
              <w:t>2013 г. – 268 млн. руб.;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  <w:spacing w:val="-4"/>
              </w:rPr>
            </w:pPr>
            <w:r w:rsidRPr="00304673">
              <w:rPr>
                <w:rFonts w:ascii="Times New Roman" w:hAnsi="Times New Roman" w:cs="Times New Roman"/>
                <w:spacing w:val="-4"/>
              </w:rPr>
              <w:t>в 2014 г. – 297 млн. руб.;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  <w:spacing w:val="-4"/>
              </w:rPr>
              <w:t>в 2015 г. – 372 млн. руб.</w:t>
            </w:r>
          </w:p>
        </w:tc>
        <w:tc>
          <w:tcPr>
            <w:tcW w:w="416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lastRenderedPageBreak/>
              <w:t>2,1-3,1%</w:t>
            </w:r>
          </w:p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собстве</w:t>
            </w:r>
            <w:r w:rsidRPr="00304673">
              <w:rPr>
                <w:rFonts w:ascii="Times New Roman" w:hAnsi="Times New Roman" w:cs="Times New Roman"/>
              </w:rPr>
              <w:t>н</w:t>
            </w:r>
            <w:r w:rsidRPr="00304673">
              <w:rPr>
                <w:rFonts w:ascii="Times New Roman" w:hAnsi="Times New Roman" w:cs="Times New Roman"/>
              </w:rPr>
              <w:t>ных дох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дов</w:t>
            </w:r>
          </w:p>
        </w:tc>
        <w:tc>
          <w:tcPr>
            <w:tcW w:w="522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0% собстве</w:t>
            </w:r>
            <w:r w:rsidRPr="00304673">
              <w:rPr>
                <w:rFonts w:ascii="Times New Roman" w:hAnsi="Times New Roman" w:cs="Times New Roman"/>
              </w:rPr>
              <w:t>н</w:t>
            </w:r>
            <w:r w:rsidRPr="00304673">
              <w:rPr>
                <w:rFonts w:ascii="Times New Roman" w:hAnsi="Times New Roman" w:cs="Times New Roman"/>
              </w:rPr>
              <w:t>ных доходов</w:t>
            </w:r>
          </w:p>
        </w:tc>
        <w:tc>
          <w:tcPr>
            <w:tcW w:w="419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268-372</w:t>
            </w:r>
          </w:p>
        </w:tc>
        <w:tc>
          <w:tcPr>
            <w:tcW w:w="600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2,3-3,1</w:t>
            </w:r>
          </w:p>
        </w:tc>
      </w:tr>
      <w:tr w:rsidR="002B641C" w:rsidRPr="00304673" w:rsidTr="00304673">
        <w:tc>
          <w:tcPr>
            <w:tcW w:w="498" w:type="pct"/>
            <w:vAlign w:val="center"/>
          </w:tcPr>
          <w:p w:rsidR="00DF4B26" w:rsidRPr="00304673" w:rsidRDefault="00DF4B26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lastRenderedPageBreak/>
              <w:t>Обеспечение полного ф</w:t>
            </w:r>
            <w:r w:rsidRPr="00304673">
              <w:rPr>
                <w:rFonts w:ascii="Times New Roman" w:hAnsi="Times New Roman" w:cs="Times New Roman"/>
              </w:rPr>
              <w:t>и</w:t>
            </w:r>
            <w:r w:rsidRPr="00304673">
              <w:rPr>
                <w:rFonts w:ascii="Times New Roman" w:hAnsi="Times New Roman" w:cs="Times New Roman"/>
              </w:rPr>
              <w:t>нансирования делегирова</w:t>
            </w:r>
            <w:r w:rsidRPr="00304673">
              <w:rPr>
                <w:rFonts w:ascii="Times New Roman" w:hAnsi="Times New Roman" w:cs="Times New Roman"/>
              </w:rPr>
              <w:t>н</w:t>
            </w:r>
            <w:r w:rsidRPr="00304673">
              <w:rPr>
                <w:rFonts w:ascii="Times New Roman" w:hAnsi="Times New Roman" w:cs="Times New Roman"/>
              </w:rPr>
              <w:t xml:space="preserve">ных </w:t>
            </w:r>
            <w:r w:rsidR="00A141D2" w:rsidRPr="00304673">
              <w:rPr>
                <w:rFonts w:ascii="Times New Roman" w:hAnsi="Times New Roman" w:cs="Times New Roman"/>
              </w:rPr>
              <w:t>органам местного с</w:t>
            </w:r>
            <w:r w:rsidR="00A141D2" w:rsidRPr="00304673">
              <w:rPr>
                <w:rFonts w:ascii="Times New Roman" w:hAnsi="Times New Roman" w:cs="Times New Roman"/>
              </w:rPr>
              <w:t>а</w:t>
            </w:r>
            <w:r w:rsidR="00A141D2" w:rsidRPr="00304673">
              <w:rPr>
                <w:rFonts w:ascii="Times New Roman" w:hAnsi="Times New Roman" w:cs="Times New Roman"/>
              </w:rPr>
              <w:t>моуправления с вышесто</w:t>
            </w:r>
            <w:r w:rsidR="00A141D2" w:rsidRPr="00304673">
              <w:rPr>
                <w:rFonts w:ascii="Times New Roman" w:hAnsi="Times New Roman" w:cs="Times New Roman"/>
              </w:rPr>
              <w:t>я</w:t>
            </w:r>
            <w:r w:rsidR="00A141D2" w:rsidRPr="00304673">
              <w:rPr>
                <w:rFonts w:ascii="Times New Roman" w:hAnsi="Times New Roman" w:cs="Times New Roman"/>
              </w:rPr>
              <w:t xml:space="preserve">щего уровня </w:t>
            </w:r>
            <w:r w:rsidRPr="00304673">
              <w:rPr>
                <w:rFonts w:ascii="Times New Roman" w:hAnsi="Times New Roman" w:cs="Times New Roman"/>
              </w:rPr>
              <w:t>полномочий</w:t>
            </w:r>
          </w:p>
        </w:tc>
        <w:tc>
          <w:tcPr>
            <w:tcW w:w="2545" w:type="pct"/>
            <w:vAlign w:val="center"/>
          </w:tcPr>
          <w:p w:rsidR="0054142B" w:rsidRPr="00304673" w:rsidRDefault="0054142B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Закрепление нормы о том, чтобы передача делегированных полномочий ос</w:t>
            </w:r>
            <w:r w:rsidRPr="00304673">
              <w:rPr>
                <w:rFonts w:ascii="Times New Roman" w:hAnsi="Times New Roman" w:cs="Times New Roman"/>
              </w:rPr>
              <w:t>у</w:t>
            </w:r>
            <w:r w:rsidRPr="00304673">
              <w:rPr>
                <w:rFonts w:ascii="Times New Roman" w:hAnsi="Times New Roman" w:cs="Times New Roman"/>
              </w:rPr>
              <w:t>ществлялась не федеральным законом, а актами Президента или Правительства (в зависимости от того, в чьём подчинении находится соответствующий фед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ральный орган исполнительной власти), что повысит оперативность подготовки нормативно-правовой базы о передаче полномочий.</w:t>
            </w:r>
          </w:p>
          <w:p w:rsidR="0054142B" w:rsidRPr="00304673" w:rsidRDefault="0054142B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Введение нормы об ограничении объёма передаваемых государственных полн</w:t>
            </w:r>
            <w:r w:rsidRPr="00304673">
              <w:rPr>
                <w:rFonts w:ascii="Times New Roman" w:hAnsi="Times New Roman" w:cs="Times New Roman"/>
              </w:rPr>
              <w:t>о</w:t>
            </w:r>
            <w:r w:rsidRPr="00304673">
              <w:rPr>
                <w:rFonts w:ascii="Times New Roman" w:hAnsi="Times New Roman" w:cs="Times New Roman"/>
              </w:rPr>
              <w:t>мочий, обязательных к исполнению (например, возможно установить предел (в виде определённого процента от общих расходов регионального или местного бюджета), свыше которого передаваемые полномочия принимаются к исполн</w:t>
            </w:r>
            <w:r w:rsidRPr="00304673">
              <w:rPr>
                <w:rFonts w:ascii="Times New Roman" w:hAnsi="Times New Roman" w:cs="Times New Roman"/>
              </w:rPr>
              <w:t>е</w:t>
            </w:r>
            <w:r w:rsidRPr="00304673">
              <w:rPr>
                <w:rFonts w:ascii="Times New Roman" w:hAnsi="Times New Roman" w:cs="Times New Roman"/>
              </w:rPr>
              <w:t>нию и реализуются нижестоящими органами власти только на добровольной основе);</w:t>
            </w:r>
          </w:p>
          <w:p w:rsidR="0054142B" w:rsidRPr="00304673" w:rsidRDefault="0054142B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Разработка механизма соответствия расходного обязательства по полномочию и переданного доходного источника на его исполнение, в </w:t>
            </w:r>
            <w:proofErr w:type="spellStart"/>
            <w:r w:rsidRPr="00304673">
              <w:rPr>
                <w:rFonts w:ascii="Times New Roman" w:hAnsi="Times New Roman" w:cs="Times New Roman"/>
              </w:rPr>
              <w:t>т.ч</w:t>
            </w:r>
            <w:proofErr w:type="spellEnd"/>
            <w:r w:rsidRPr="00304673">
              <w:rPr>
                <w:rFonts w:ascii="Times New Roman" w:hAnsi="Times New Roman" w:cs="Times New Roman"/>
              </w:rPr>
              <w:t>. путем компенсации не только полной стоимости передаваемых полномочий, но и стоимости допо</w:t>
            </w:r>
            <w:r w:rsidRPr="00304673">
              <w:rPr>
                <w:rFonts w:ascii="Times New Roman" w:hAnsi="Times New Roman" w:cs="Times New Roman"/>
              </w:rPr>
              <w:t>л</w:t>
            </w:r>
            <w:r w:rsidRPr="00304673">
              <w:rPr>
                <w:rFonts w:ascii="Times New Roman" w:hAnsi="Times New Roman" w:cs="Times New Roman"/>
              </w:rPr>
              <w:t>нительных затрат, связанных с их осуществлением на местах.</w:t>
            </w:r>
          </w:p>
          <w:p w:rsidR="00DF4B26" w:rsidRPr="00304673" w:rsidRDefault="00DF4B26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В 2013-2015 гг. не финансировались до 3% передаваемых на муниципальный уровень расходов, которые возникали вследствие принятия нормативных актов на вышестоящих уровнях власти.</w:t>
            </w:r>
          </w:p>
          <w:p w:rsidR="00DF4B26" w:rsidRPr="00304673" w:rsidRDefault="00DF4B26" w:rsidP="0054142B">
            <w:pPr>
              <w:spacing w:line="228" w:lineRule="auto"/>
              <w:ind w:left="-57" w:right="-57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На покрытие оставшихся расходов ОМСУ вынуждены были искать собственные средства, что отрицательно </w:t>
            </w:r>
            <w:r w:rsidR="0054142B" w:rsidRPr="00304673">
              <w:rPr>
                <w:rFonts w:ascii="Times New Roman" w:hAnsi="Times New Roman" w:cs="Times New Roman"/>
              </w:rPr>
              <w:t>повлияло</w:t>
            </w:r>
            <w:r w:rsidRPr="00304673">
              <w:rPr>
                <w:rFonts w:ascii="Times New Roman" w:hAnsi="Times New Roman" w:cs="Times New Roman"/>
              </w:rPr>
              <w:t xml:space="preserve"> на</w:t>
            </w:r>
            <w:r w:rsidR="0054142B" w:rsidRPr="00304673">
              <w:rPr>
                <w:rFonts w:ascii="Times New Roman" w:hAnsi="Times New Roman" w:cs="Times New Roman"/>
              </w:rPr>
              <w:t xml:space="preserve"> оценку использования бюджетного п</w:t>
            </w:r>
            <w:r w:rsidR="0054142B" w:rsidRPr="00304673">
              <w:rPr>
                <w:rFonts w:ascii="Times New Roman" w:hAnsi="Times New Roman" w:cs="Times New Roman"/>
              </w:rPr>
              <w:t>о</w:t>
            </w:r>
            <w:r w:rsidR="0054142B" w:rsidRPr="00304673">
              <w:rPr>
                <w:rFonts w:ascii="Times New Roman" w:hAnsi="Times New Roman" w:cs="Times New Roman"/>
              </w:rPr>
              <w:t xml:space="preserve">тенциала </w:t>
            </w:r>
            <w:r w:rsidRPr="00304673">
              <w:rPr>
                <w:rFonts w:ascii="Times New Roman" w:hAnsi="Times New Roman" w:cs="Times New Roman"/>
              </w:rPr>
              <w:t>муниципальн</w:t>
            </w:r>
            <w:r w:rsidR="0054142B" w:rsidRPr="00304673">
              <w:rPr>
                <w:rFonts w:ascii="Times New Roman" w:hAnsi="Times New Roman" w:cs="Times New Roman"/>
              </w:rPr>
              <w:t>ых образований.</w:t>
            </w:r>
          </w:p>
        </w:tc>
        <w:tc>
          <w:tcPr>
            <w:tcW w:w="416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97-99%</w:t>
            </w:r>
          </w:p>
        </w:tc>
        <w:tc>
          <w:tcPr>
            <w:tcW w:w="522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419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90-439</w:t>
            </w:r>
          </w:p>
        </w:tc>
        <w:tc>
          <w:tcPr>
            <w:tcW w:w="600" w:type="pct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0,8-3,7</w:t>
            </w:r>
          </w:p>
        </w:tc>
      </w:tr>
      <w:tr w:rsidR="00DF4B26" w:rsidRPr="00304673" w:rsidTr="0084331C">
        <w:tc>
          <w:tcPr>
            <w:tcW w:w="3981" w:type="pct"/>
            <w:gridSpan w:val="4"/>
            <w:vAlign w:val="center"/>
          </w:tcPr>
          <w:p w:rsidR="00DF4B26" w:rsidRPr="00304673" w:rsidRDefault="00DF4B26" w:rsidP="00DF4B26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419" w:type="pct"/>
            <w:vAlign w:val="center"/>
          </w:tcPr>
          <w:p w:rsidR="00DF4B26" w:rsidRPr="00304673" w:rsidRDefault="00DF4B26" w:rsidP="0084331C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1</w:t>
            </w:r>
            <w:r w:rsidR="00304673" w:rsidRPr="00304673">
              <w:rPr>
                <w:rFonts w:ascii="Times New Roman" w:hAnsi="Times New Roman" w:cs="Times New Roman"/>
              </w:rPr>
              <w:t>67</w:t>
            </w:r>
            <w:r w:rsidRPr="00304673">
              <w:rPr>
                <w:rFonts w:ascii="Times New Roman" w:hAnsi="Times New Roman" w:cs="Times New Roman"/>
              </w:rPr>
              <w:t>4-</w:t>
            </w:r>
            <w:r w:rsidR="00304673" w:rsidRPr="00304673">
              <w:rPr>
                <w:rFonts w:ascii="Times New Roman" w:hAnsi="Times New Roman" w:cs="Times New Roman"/>
              </w:rPr>
              <w:t>3297</w:t>
            </w:r>
          </w:p>
        </w:tc>
        <w:tc>
          <w:tcPr>
            <w:tcW w:w="600" w:type="pct"/>
            <w:vAlign w:val="center"/>
          </w:tcPr>
          <w:p w:rsidR="00DF4B26" w:rsidRPr="00304673" w:rsidRDefault="00304673" w:rsidP="0084331C">
            <w:pPr>
              <w:spacing w:line="228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304673">
              <w:rPr>
                <w:rFonts w:ascii="Times New Roman" w:hAnsi="Times New Roman" w:cs="Times New Roman"/>
              </w:rPr>
              <w:t>14,1-27,7</w:t>
            </w:r>
          </w:p>
        </w:tc>
      </w:tr>
    </w:tbl>
    <w:p w:rsidR="0022365B" w:rsidRDefault="0022365B" w:rsidP="0030467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sectPr w:rsidR="0022365B" w:rsidSect="002B641C">
          <w:pgSz w:w="16838" w:h="11906" w:orient="landscape"/>
          <w:pgMar w:top="1134" w:right="851" w:bottom="567" w:left="851" w:header="709" w:footer="709" w:gutter="0"/>
          <w:cols w:space="708"/>
          <w:docGrid w:linePitch="360"/>
        </w:sectPr>
      </w:pPr>
    </w:p>
    <w:p w:rsidR="0022365B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Помимо вышеперечисленных мероприятий к мероприятиям по расширению бюджетного потенциала муниципалитетов можно отнести следующие</w:t>
      </w:r>
      <w:r w:rsid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резервы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</w:t>
      </w:r>
    </w:p>
    <w:p w:rsidR="0022365B" w:rsidRPr="005F1850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1) 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собое внимание следует уделить методике расчёта дотаций на выравнив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ние бюджетной обеспеченности с позиций оптимальности их распределения между муниципальными образованиями. Согласно бюджетному законодательству РФ, при расчёте уровня бюджетной обеспеченности поселений учитываются только их нал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говые доходы. Такой подход устанавливает зависимость механизма распределения дотаций, и как следствие, расходов бюджета в большей степени от размера налог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вых поступлений. В свою очередь, это нарушает два принципа бюджетной системы Российской Федерации:</w:t>
      </w:r>
    </w:p>
    <w:p w:rsidR="0022365B" w:rsidRPr="0022365B" w:rsidRDefault="0022365B" w:rsidP="009D5B75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принцип минимизации размера дефицита бюджета, достижение которой возможно лишь при учёте всех доходов (ст. 33 БК РФ);</w:t>
      </w:r>
    </w:p>
    <w:p w:rsidR="0022365B" w:rsidRPr="0022365B" w:rsidRDefault="0022365B" w:rsidP="009D5B75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ринцип общего (совокупного) покрытия расходов бюджетов, означа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ю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щего, что расходы не могут быть увязаны с определёнными доходами и источник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ми финансирования дефицита бюджета (ст. 35 БК РФ).</w:t>
      </w:r>
    </w:p>
    <w:p w:rsidR="0022365B" w:rsidRPr="005F1850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Вологодской области о некорректности существующего метода распредел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ния финансовой помощи между поселениями свидетельствует тот факт, что в ряде поселений неналоговые поступления составляют свыше 80% доходов бюджета, при этом в конце года на счетах главных распорядителей данных поселений остаются неиспользованные средства (табл.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).</w:t>
      </w:r>
    </w:p>
    <w:p w:rsidR="0022365B" w:rsidRPr="0022365B" w:rsidRDefault="0022365B" w:rsidP="009D5B7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2365B">
        <w:rPr>
          <w:rFonts w:ascii="Times New Roman" w:hAnsi="Times New Roman" w:cs="Times New Roman"/>
          <w:sz w:val="24"/>
          <w:szCs w:val="24"/>
        </w:rPr>
        <w:t>Таблица 2</w:t>
      </w:r>
    </w:p>
    <w:p w:rsidR="0022365B" w:rsidRPr="0022365B" w:rsidRDefault="0022365B" w:rsidP="009D5B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65B">
        <w:rPr>
          <w:rFonts w:ascii="Times New Roman" w:hAnsi="Times New Roman" w:cs="Times New Roman"/>
          <w:b/>
          <w:sz w:val="24"/>
          <w:szCs w:val="24"/>
        </w:rPr>
        <w:t>Доля неналоговых поступлений и остатков средств бюджетов</w:t>
      </w:r>
    </w:p>
    <w:p w:rsidR="0022365B" w:rsidRPr="0022365B" w:rsidRDefault="0022365B" w:rsidP="009D5B7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65B">
        <w:rPr>
          <w:rFonts w:ascii="Times New Roman" w:hAnsi="Times New Roman" w:cs="Times New Roman"/>
          <w:b/>
          <w:sz w:val="24"/>
          <w:szCs w:val="24"/>
        </w:rPr>
        <w:t>в собственных доходах бюджета поселения Вологодской области в 2015 году,</w:t>
      </w:r>
      <w:r w:rsidRPr="0022365B">
        <w:rPr>
          <w:rFonts w:ascii="Times New Roman" w:hAnsi="Times New Roman" w:cs="Times New Roman"/>
          <w:i/>
          <w:sz w:val="24"/>
          <w:szCs w:val="24"/>
        </w:rPr>
        <w:t xml:space="preserve"> %</w:t>
      </w:r>
    </w:p>
    <w:tbl>
      <w:tblPr>
        <w:tblW w:w="10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3"/>
        <w:gridCol w:w="1571"/>
        <w:gridCol w:w="1590"/>
        <w:gridCol w:w="1884"/>
        <w:gridCol w:w="1571"/>
        <w:gridCol w:w="1580"/>
      </w:tblGrid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14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Неналоговые доходы</w:t>
            </w:r>
          </w:p>
        </w:tc>
        <w:tc>
          <w:tcPr>
            <w:tcW w:w="182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Остатки средств бюджетов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1470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Неналоговые доходы</w:t>
            </w:r>
          </w:p>
        </w:tc>
        <w:tc>
          <w:tcPr>
            <w:tcW w:w="1810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Остатки средств бюджетов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Центральное  </w:t>
            </w:r>
          </w:p>
        </w:tc>
        <w:tc>
          <w:tcPr>
            <w:tcW w:w="145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Туровецкое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55,1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Идское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Калининское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Юркинское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Медведевское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Васильевское 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Ирдоматское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67,1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Коневское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Югское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Нижнекулойское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53,9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Домшинское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119,4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Семенковское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  <w:vAlign w:val="bottom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Ершовское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Андроновское  </w:t>
            </w:r>
          </w:p>
        </w:tc>
        <w:tc>
          <w:tcPr>
            <w:tcW w:w="145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Любомировское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Алешинское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Раменское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70,7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306,2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Николоторжское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Чуровское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</w:tr>
      <w:tr w:rsidR="0022365B" w:rsidRPr="0022365B" w:rsidTr="009D5B75">
        <w:trPr>
          <w:jc w:val="center"/>
        </w:trPr>
        <w:tc>
          <w:tcPr>
            <w:tcW w:w="1858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Ферапонтовское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5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</w:tc>
        <w:tc>
          <w:tcPr>
            <w:tcW w:w="1828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745" w:type="dxa"/>
            <w:vAlign w:val="center"/>
          </w:tcPr>
          <w:p w:rsidR="0022365B" w:rsidRPr="0022365B" w:rsidRDefault="0022365B" w:rsidP="009D5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Боровецкое</w:t>
            </w:r>
            <w:proofErr w:type="spellEnd"/>
            <w:r w:rsidRPr="002236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7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810" w:type="dxa"/>
          </w:tcPr>
          <w:p w:rsidR="0022365B" w:rsidRPr="0022365B" w:rsidRDefault="0022365B" w:rsidP="009D5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65B"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</w:tr>
    </w:tbl>
    <w:p w:rsidR="0022365B" w:rsidRPr="0022365B" w:rsidRDefault="0022365B" w:rsidP="009D5B75">
      <w:pPr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22365B">
        <w:rPr>
          <w:rFonts w:ascii="Times New Roman" w:hAnsi="Times New Roman" w:cs="Times New Roman"/>
          <w:sz w:val="24"/>
          <w:szCs w:val="24"/>
        </w:rPr>
        <w:t>Источник: данные Департамента финансов Вологодской области, расчёты автора.</w:t>
      </w:r>
    </w:p>
    <w:p w:rsidR="0022365B" w:rsidRPr="0022365B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22365B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lastRenderedPageBreak/>
        <w:t>Предлагаемый вариант</w:t>
      </w:r>
    </w:p>
    <w:p w:rsidR="0022365B" w:rsidRPr="005F1850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читаем необходимым при расчёте дотаций на выравнивание бюджетной обеспеченности поселений учитывать все статьи налоговых доходов и ряд ненал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говых поступлений. Для того чтобы не вызвать деструктивный эффект и не умен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шить мотивацию органов местного самоуправления поселений в развитии неналог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вых платежей, по нашему мнению, не следует учитывать неналоговые доходы, об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ъ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ём которых зависит от эффективности управления муниципальной собственностью. </w:t>
      </w:r>
    </w:p>
    <w:p w:rsidR="0022365B" w:rsidRPr="005F1850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Для повышения объективности распределения дотаций между поселениями предлагаем внести изменения в методику расчёта дотаций из фонда финансовой поддержки поселений региона. Формула расчёта индекса доходного потенциала (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ИНПi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 останется прежней:</w:t>
      </w:r>
    </w:p>
    <w:p w:rsidR="0022365B" w:rsidRPr="00093ACE" w:rsidRDefault="0022365B" w:rsidP="009D5B75">
      <w:pPr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093ACE">
        <w:rPr>
          <w:position w:val="-30"/>
          <w:sz w:val="28"/>
          <w:szCs w:val="28"/>
        </w:rPr>
        <w:object w:dxaOrig="19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45pt" o:ole="">
            <v:imagedata r:id="rId8" o:title=""/>
          </v:shape>
          <o:OLEObject Type="Embed" ProgID="Equation.3" ShapeID="_x0000_i1025" DrawAspect="Content" ObjectID="_1556437659" r:id="rId9"/>
        </w:object>
      </w:r>
      <w:r w:rsidRPr="00093ACE">
        <w:rPr>
          <w:sz w:val="28"/>
          <w:szCs w:val="28"/>
        </w:rPr>
        <w:t xml:space="preserve"> 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где ИДП – индекс доходного потенциала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ДПi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доходный потенциал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численность постоянного населения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ДП – суммарный доходный потенциал всех поселений, входящих в состав муниц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пального района;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 – численность постоянного населения муниципального района.</w:t>
      </w:r>
    </w:p>
    <w:p w:rsidR="0022365B" w:rsidRDefault="0022365B" w:rsidP="009D5B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2365B" w:rsidRPr="005F1850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Изменения предлагается внести в формулу расчёта доходного потенциала (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ДПi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 поселения:</w:t>
      </w:r>
    </w:p>
    <w:p w:rsidR="0022365B" w:rsidRPr="00093ACE" w:rsidRDefault="0022365B" w:rsidP="009D5B75">
      <w:pPr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093ACE">
        <w:rPr>
          <w:position w:val="-16"/>
          <w:sz w:val="28"/>
          <w:szCs w:val="28"/>
        </w:rPr>
        <w:object w:dxaOrig="3300" w:dyaOrig="420">
          <v:shape id="_x0000_i1026" type="#_x0000_t75" style="width:219pt;height:27pt" o:ole="">
            <v:imagedata r:id="rId10" o:title=""/>
          </v:shape>
          <o:OLEObject Type="Embed" ProgID="Equation.3" ShapeID="_x0000_i1026" DrawAspect="Content" ObjectID="_1556437660" r:id="rId11"/>
        </w:objec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где ДП – доходный потенциал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НПij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налоговый потенциал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 по j-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налогу;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субвенция из бюджета i-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поселения в областной бюджет;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расчётный размер дотации j-</w:t>
      </w: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му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поселению из бюджета муниципального района за счёт субвенции из областного бюджета;</w:t>
      </w:r>
    </w:p>
    <w:p w:rsidR="0022365B" w:rsidRPr="005F1850" w:rsidRDefault="0022365B" w:rsidP="009D5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ННПi</w:t>
      </w:r>
      <w:proofErr w:type="spellEnd"/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– неналоговый потенциал в части платежей от передачи в аренду земельных участков.</w:t>
      </w:r>
    </w:p>
    <w:p w:rsidR="0022365B" w:rsidRPr="005F1850" w:rsidRDefault="0022365B" w:rsidP="009D5B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2365B" w:rsidRPr="008F153C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Указанные изменения, внесённые в методику расчёта дотаций из региональн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 фонда финансовой поддержки поселений, позволят более рационально перера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</w:t>
      </w:r>
      <w:r w:rsidRPr="005F185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пределять финансовые ресурсы между поселениями.</w:t>
      </w:r>
    </w:p>
    <w:p w:rsidR="0022365B" w:rsidRDefault="0022365B" w:rsidP="0022365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2365B" w:rsidRPr="0022365B" w:rsidRDefault="0022365B" w:rsidP="0022365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2) Разработка механизма, позволяющего установить равномерность распред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ления межбюджетных трансфертов муниципальным образованиям в течение фина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сового года с учетом их сокращения в декабре.</w:t>
      </w:r>
    </w:p>
    <w:p w:rsidR="009D5B75" w:rsidRDefault="009D5B75" w:rsidP="0022365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Возникает два риска – остаток </w:t>
      </w:r>
      <w:r w:rsid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бюджетных средств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 счетах главных распор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дителей и сокращение межбюджетных трансфертов в следующем финансовом году по причине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неосвоения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текущем году.</w:t>
      </w:r>
    </w:p>
    <w:p w:rsidR="0022365B" w:rsidRDefault="0022365B" w:rsidP="0022365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Так, в декабре 2015 г. было получено практически 15% от годовой суммы ме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бюджетных трансфертов, в конце года на счетах главных распорядителей бюдже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ных средств муниципалитетам хранилось 185 млн. руб. (рис. 1) Муниципалитетам в срочном порядке необходимо использовать данные средства, так как в противном случае по данным расходным статьям в следующем году </w:t>
      </w:r>
      <w:r w:rsid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финансирование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 пост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пит. </w:t>
      </w:r>
    </w:p>
    <w:p w:rsidR="0022365B" w:rsidRDefault="0022365B" w:rsidP="0022365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02BA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64E9662" wp14:editId="5FEBF010">
            <wp:extent cx="5943600" cy="2819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2365B" w:rsidRDefault="0022365B" w:rsidP="0022365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Рисунок</w:t>
      </w:r>
      <w:r w:rsidRPr="00BE4CF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9D5B7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Помесячная динамика поступления межбюджетных трансфертов в муниципал</w:t>
      </w:r>
      <w:r w:rsidRPr="009D5B7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и</w:t>
      </w:r>
      <w:r w:rsidRPr="009D5B7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теты Вологодской области из областного бюджета в 2015 году</w:t>
      </w:r>
    </w:p>
    <w:p w:rsidR="0022365B" w:rsidRDefault="0022365B" w:rsidP="0022365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22365B" w:rsidRPr="0022365B" w:rsidRDefault="0022365B" w:rsidP="0022365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Низкое качество организационной работы и несвоевременная подготовка 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док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ментов приводит к более позднему освоению трансфертов, и в ряде случаев к уменьшению поступлений из вышестоящих бюджетов по сравнению с первоначал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ными значениями.</w:t>
      </w:r>
    </w:p>
    <w:p w:rsidR="0022365B" w:rsidRPr="0022365B" w:rsidRDefault="009D5B75" w:rsidP="0022365B">
      <w:pPr>
        <w:pStyle w:val="2"/>
        <w:spacing w:after="0" w:line="360" w:lineRule="auto"/>
        <w:ind w:left="0" w:firstLine="709"/>
        <w:jc w:val="both"/>
        <w:rPr>
          <w:sz w:val="28"/>
          <w:szCs w:val="28"/>
        </w:rPr>
      </w:pPr>
      <w:r w:rsidRPr="009D5B75">
        <w:rPr>
          <w:i/>
          <w:sz w:val="28"/>
          <w:szCs w:val="28"/>
        </w:rPr>
        <w:t xml:space="preserve">Предлагаемые </w:t>
      </w:r>
      <w:r w:rsidR="0022365B" w:rsidRPr="009D5B75">
        <w:rPr>
          <w:i/>
          <w:sz w:val="28"/>
          <w:szCs w:val="28"/>
        </w:rPr>
        <w:t>мер</w:t>
      </w:r>
      <w:r w:rsidRPr="009D5B75">
        <w:rPr>
          <w:i/>
          <w:sz w:val="28"/>
          <w:szCs w:val="28"/>
        </w:rPr>
        <w:t>ы</w:t>
      </w:r>
      <w:r w:rsidR="0022365B" w:rsidRPr="009D5B75">
        <w:rPr>
          <w:i/>
          <w:sz w:val="28"/>
          <w:szCs w:val="28"/>
        </w:rPr>
        <w:t xml:space="preserve"> повышения межбюджетного планирования</w:t>
      </w:r>
      <w:r w:rsidR="0022365B" w:rsidRPr="0022365B">
        <w:rPr>
          <w:sz w:val="28"/>
          <w:szCs w:val="28"/>
        </w:rPr>
        <w:t>:</w:t>
      </w:r>
    </w:p>
    <w:p w:rsidR="0022365B" w:rsidRPr="0022365B" w:rsidRDefault="0022365B" w:rsidP="0022365B">
      <w:pPr>
        <w:pStyle w:val="2"/>
        <w:numPr>
          <w:ilvl w:val="0"/>
          <w:numId w:val="6"/>
        </w:numPr>
        <w:tabs>
          <w:tab w:val="clear" w:pos="1429"/>
          <w:tab w:val="left" w:pos="108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2365B">
        <w:rPr>
          <w:sz w:val="28"/>
          <w:szCs w:val="28"/>
        </w:rPr>
        <w:t>введение в Бюджетный кодекс нормы, закрепляющей распределение ме</w:t>
      </w:r>
      <w:r w:rsidRPr="0022365B">
        <w:rPr>
          <w:sz w:val="28"/>
          <w:szCs w:val="28"/>
        </w:rPr>
        <w:t>ж</w:t>
      </w:r>
      <w:r w:rsidRPr="0022365B">
        <w:rPr>
          <w:sz w:val="28"/>
          <w:szCs w:val="28"/>
        </w:rPr>
        <w:t>бюджетных трансфертов субъектам РФ к первому чтению проекта федерального бюджета на очередной финансовый год;</w:t>
      </w:r>
    </w:p>
    <w:p w:rsidR="0022365B" w:rsidRPr="0022365B" w:rsidRDefault="0022365B" w:rsidP="0022365B">
      <w:pPr>
        <w:pStyle w:val="2"/>
        <w:numPr>
          <w:ilvl w:val="0"/>
          <w:numId w:val="6"/>
        </w:numPr>
        <w:tabs>
          <w:tab w:val="clear" w:pos="1429"/>
          <w:tab w:val="left" w:pos="108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2365B">
        <w:rPr>
          <w:sz w:val="28"/>
          <w:szCs w:val="28"/>
        </w:rPr>
        <w:lastRenderedPageBreak/>
        <w:t>исключение субсидий из перечня целевых трансфертов, подлежащих в сл</w:t>
      </w:r>
      <w:r w:rsidRPr="0022365B">
        <w:rPr>
          <w:sz w:val="28"/>
          <w:szCs w:val="28"/>
        </w:rPr>
        <w:t>у</w:t>
      </w:r>
      <w:r w:rsidRPr="0022365B">
        <w:rPr>
          <w:sz w:val="28"/>
          <w:szCs w:val="28"/>
        </w:rPr>
        <w:t xml:space="preserve">чае </w:t>
      </w:r>
      <w:proofErr w:type="spellStart"/>
      <w:r w:rsidRPr="0022365B">
        <w:rPr>
          <w:sz w:val="28"/>
          <w:szCs w:val="28"/>
        </w:rPr>
        <w:t>неосвоения</w:t>
      </w:r>
      <w:proofErr w:type="spellEnd"/>
      <w:r w:rsidRPr="0022365B">
        <w:rPr>
          <w:sz w:val="28"/>
          <w:szCs w:val="28"/>
        </w:rPr>
        <w:t xml:space="preserve"> возврату, поскольку они передаются на </w:t>
      </w:r>
      <w:proofErr w:type="spellStart"/>
      <w:r w:rsidRPr="0022365B">
        <w:rPr>
          <w:sz w:val="28"/>
          <w:szCs w:val="28"/>
        </w:rPr>
        <w:t>софинансирование</w:t>
      </w:r>
      <w:proofErr w:type="spellEnd"/>
      <w:r w:rsidRPr="0022365B">
        <w:rPr>
          <w:sz w:val="28"/>
          <w:szCs w:val="28"/>
        </w:rPr>
        <w:t xml:space="preserve"> программ социально-экономического развития;</w:t>
      </w:r>
    </w:p>
    <w:p w:rsidR="0022365B" w:rsidRPr="0022365B" w:rsidRDefault="0022365B" w:rsidP="0022365B">
      <w:pPr>
        <w:pStyle w:val="2"/>
        <w:numPr>
          <w:ilvl w:val="0"/>
          <w:numId w:val="6"/>
        </w:numPr>
        <w:tabs>
          <w:tab w:val="clear" w:pos="1429"/>
          <w:tab w:val="left" w:pos="108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2365B">
        <w:rPr>
          <w:sz w:val="28"/>
          <w:szCs w:val="28"/>
        </w:rPr>
        <w:t>применение сценарного подхода при составлении бюджета, что позволит увеличить маневренность бюджетной политики и станет безусловным гарантом и</w:t>
      </w:r>
      <w:r w:rsidRPr="0022365B">
        <w:rPr>
          <w:sz w:val="28"/>
          <w:szCs w:val="28"/>
        </w:rPr>
        <w:t>с</w:t>
      </w:r>
      <w:r w:rsidRPr="0022365B">
        <w:rPr>
          <w:sz w:val="28"/>
          <w:szCs w:val="28"/>
        </w:rPr>
        <w:t>полнения социально значимых обязательств при неблагоприятной конъюнктуре;</w:t>
      </w:r>
    </w:p>
    <w:p w:rsidR="0022365B" w:rsidRPr="0022365B" w:rsidRDefault="0022365B" w:rsidP="009D5B75">
      <w:pPr>
        <w:pStyle w:val="2"/>
        <w:numPr>
          <w:ilvl w:val="0"/>
          <w:numId w:val="6"/>
        </w:numPr>
        <w:tabs>
          <w:tab w:val="clear" w:pos="1429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2365B">
        <w:rPr>
          <w:sz w:val="28"/>
          <w:szCs w:val="28"/>
        </w:rPr>
        <w:t>повышение взаимосвязи стадий бюджетного планирования и составл</w:t>
      </w:r>
      <w:r w:rsidRPr="0022365B">
        <w:rPr>
          <w:sz w:val="28"/>
          <w:szCs w:val="28"/>
        </w:rPr>
        <w:t>е</w:t>
      </w:r>
      <w:r w:rsidRPr="0022365B">
        <w:rPr>
          <w:sz w:val="28"/>
          <w:szCs w:val="28"/>
        </w:rPr>
        <w:t>ния отчётности об исполнении бюджета</w:t>
      </w:r>
      <w:r w:rsidRPr="0022365B">
        <w:rPr>
          <w:rStyle w:val="aa"/>
          <w:sz w:val="28"/>
          <w:szCs w:val="28"/>
        </w:rPr>
        <w:footnoteReference w:id="1"/>
      </w:r>
      <w:r w:rsidRPr="0022365B">
        <w:rPr>
          <w:sz w:val="28"/>
          <w:szCs w:val="28"/>
        </w:rPr>
        <w:t>;</w:t>
      </w:r>
    </w:p>
    <w:p w:rsidR="0022365B" w:rsidRPr="009D5B75" w:rsidRDefault="0022365B" w:rsidP="009D5B7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</w:pPr>
      <w:r w:rsidRPr="009D5B75">
        <w:rPr>
          <w:rStyle w:val="A10"/>
          <w:rFonts w:ascii="Times New Roman" w:hAnsi="Times New Roman" w:cs="Times New Roman"/>
          <w:sz w:val="28"/>
          <w:szCs w:val="28"/>
        </w:rPr>
        <w:t xml:space="preserve">Разработка механизма </w:t>
      </w:r>
      <w:r w:rsidRPr="009D5B75">
        <w:rPr>
          <w:rFonts w:ascii="Times New Roman" w:hAnsi="Times New Roman" w:cs="Times New Roman"/>
          <w:sz w:val="28"/>
          <w:szCs w:val="28"/>
        </w:rPr>
        <w:t xml:space="preserve">максимального </w:t>
      </w:r>
      <w:r w:rsidRPr="009D5B75">
        <w:rPr>
          <w:rStyle w:val="A10"/>
          <w:rFonts w:ascii="Times New Roman" w:hAnsi="Times New Roman" w:cs="Times New Roman"/>
          <w:sz w:val="28"/>
          <w:szCs w:val="28"/>
        </w:rPr>
        <w:t xml:space="preserve">сочетания </w:t>
      </w:r>
      <w:r w:rsidRPr="009D5B75">
        <w:rPr>
          <w:rFonts w:ascii="Times New Roman" w:hAnsi="Times New Roman" w:cs="Times New Roman"/>
          <w:sz w:val="28"/>
          <w:szCs w:val="28"/>
        </w:rPr>
        <w:t>уровня налоговой нагрузки и уровня благосостояния населения</w:t>
      </w:r>
      <w:r w:rsidRPr="009D5B75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9D5B75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Сохранение оптимального уровня налогообложения в настоящее является о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ной из основных задач российской налоговой политики и оказывает непосредстве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ное влияние на величину бюджетного потенциала муниципальных образований. При несоответствии объемов налогового бремени и реальных финансовых возможностей налогоплательщиков неизбежно возникает тенденция к уклонению от уплаты нал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гов, что в конечном итоге приводит к сокращению налогового потенциала муниц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палитетов как сост</w:t>
      </w:r>
      <w:r w:rsid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авляющей бюджетного потенциала.</w:t>
      </w:r>
    </w:p>
    <w:p w:rsidR="0022365B" w:rsidRPr="004A2EF6" w:rsidRDefault="0022365B" w:rsidP="009D5B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Достижению оптимального уровня налогообложения способствует сочетание величины налоговой нагрузки с уровнем благосостояния населения на территории муниципалитета. Тем не менее, в регионе присутствуют муниципалитеты, в которых величина налоговой нагрузки не соответствует уровню социально-экономического развития. Так, Междуреченский район в 2012 и 2015 гг. занимает 8 место по уровню среднемесячной заработной платы на одного работника и только 26 место по уро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r w:rsidRPr="0022365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ню налоговой нагрузки. Бабаевский район, занимающий первое место по уровню налоговой нагрузки</w:t>
      </w:r>
      <w:r w:rsidRPr="004A2EF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занимает только четвёртое место по уровню заработной платы (табл. </w:t>
      </w:r>
      <w:r w:rsid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</w:t>
      </w:r>
      <w:r w:rsidRPr="004A2EF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).</w:t>
      </w:r>
    </w:p>
    <w:p w:rsidR="009D5B75" w:rsidRDefault="009D5B75" w:rsidP="009D5B75">
      <w:pPr>
        <w:tabs>
          <w:tab w:val="left" w:pos="7120"/>
        </w:tabs>
        <w:spacing w:before="120"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D5B75" w:rsidRDefault="009D5B75" w:rsidP="009D5B75">
      <w:pPr>
        <w:tabs>
          <w:tab w:val="left" w:pos="7120"/>
        </w:tabs>
        <w:spacing w:before="120"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D5B75" w:rsidRDefault="009D5B75" w:rsidP="009D5B75">
      <w:pPr>
        <w:tabs>
          <w:tab w:val="left" w:pos="7120"/>
        </w:tabs>
        <w:spacing w:before="120"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D5B75" w:rsidRDefault="0022365B" w:rsidP="009D5B75">
      <w:pPr>
        <w:tabs>
          <w:tab w:val="left" w:pos="7120"/>
        </w:tabs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9D5B7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 xml:space="preserve">Таблица </w:t>
      </w:r>
      <w:r w:rsidR="009D5B7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</w:t>
      </w:r>
      <w:bookmarkStart w:id="0" w:name="_GoBack"/>
      <w:bookmarkEnd w:id="0"/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4331C" w:rsidRDefault="0022365B" w:rsidP="0084331C">
      <w:pPr>
        <w:tabs>
          <w:tab w:val="left" w:pos="71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9D5B7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Сочетание уровня налоговой нагрузки </w:t>
      </w:r>
    </w:p>
    <w:p w:rsidR="0022365B" w:rsidRPr="009D5B75" w:rsidRDefault="0022365B" w:rsidP="009D5B75">
      <w:pPr>
        <w:tabs>
          <w:tab w:val="left" w:pos="712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9D5B7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с уровнем благосостояния населения </w:t>
      </w:r>
      <w:r w:rsidR="0084331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Вологодской области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1687"/>
        <w:gridCol w:w="1809"/>
        <w:gridCol w:w="1923"/>
        <w:gridCol w:w="1890"/>
      </w:tblGrid>
      <w:tr w:rsidR="0022365B" w:rsidRPr="009739B2" w:rsidTr="009D5B75">
        <w:trPr>
          <w:jc w:val="center"/>
        </w:trPr>
        <w:tc>
          <w:tcPr>
            <w:tcW w:w="2802" w:type="dxa"/>
            <w:vMerge w:val="restart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района (городского округа)</w:t>
            </w:r>
          </w:p>
        </w:tc>
        <w:tc>
          <w:tcPr>
            <w:tcW w:w="3496" w:type="dxa"/>
            <w:gridSpan w:val="2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Рейтинг по налоговой нагрузке в области</w:t>
            </w:r>
          </w:p>
        </w:tc>
        <w:tc>
          <w:tcPr>
            <w:tcW w:w="3813" w:type="dxa"/>
            <w:gridSpan w:val="2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Рейтинг по заработной плате в</w:t>
            </w:r>
          </w:p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  <w:vMerge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AE5F24">
                <w:rPr>
                  <w:rFonts w:ascii="Times New Roman" w:eastAsia="Calibri" w:hAnsi="Times New Roman" w:cs="Times New Roman"/>
                  <w:color w:val="000000"/>
                  <w:sz w:val="24"/>
                  <w:szCs w:val="24"/>
                  <w:lang w:eastAsia="ru-RU"/>
                </w:rPr>
                <w:t>2012 г</w:t>
              </w:r>
            </w:smartTag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AE5F24">
                <w:rPr>
                  <w:rFonts w:ascii="Times New Roman" w:eastAsia="Calibri" w:hAnsi="Times New Roman" w:cs="Times New Roman"/>
                  <w:color w:val="000000"/>
                  <w:sz w:val="24"/>
                  <w:szCs w:val="24"/>
                  <w:lang w:eastAsia="ru-RU"/>
                </w:rPr>
                <w:t>2015 г</w:t>
              </w:r>
            </w:smartTag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AE5F24">
                <w:rPr>
                  <w:rFonts w:ascii="Times New Roman" w:eastAsia="Calibri" w:hAnsi="Times New Roman" w:cs="Times New Roman"/>
                  <w:color w:val="000000"/>
                  <w:sz w:val="24"/>
                  <w:szCs w:val="24"/>
                  <w:lang w:eastAsia="ru-RU"/>
                </w:rPr>
                <w:t>2012 г</w:t>
              </w:r>
            </w:smartTag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AE5F24">
                <w:rPr>
                  <w:rFonts w:ascii="Times New Roman" w:eastAsia="Calibri" w:hAnsi="Times New Roman" w:cs="Times New Roman"/>
                  <w:color w:val="000000"/>
                  <w:sz w:val="24"/>
                  <w:szCs w:val="24"/>
                  <w:lang w:eastAsia="ru-RU"/>
                </w:rPr>
                <w:t>2015 г</w:t>
              </w:r>
            </w:smartTag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2365B" w:rsidRPr="009739B2" w:rsidTr="009D5B75">
        <w:trPr>
          <w:trHeight w:val="295"/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Бабаевский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2365B" w:rsidRPr="009739B2" w:rsidTr="009D5B75">
        <w:trPr>
          <w:trHeight w:val="295"/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Вашкинский</w:t>
            </w:r>
            <w:proofErr w:type="spellEnd"/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г. Вологда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Вожегодский</w:t>
            </w:r>
            <w:proofErr w:type="spellEnd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Кирилловский 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Кичменгско</w:t>
            </w:r>
            <w:proofErr w:type="spellEnd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-Городецкий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Междуреченский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Никольский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Нюксенский</w:t>
            </w:r>
            <w:proofErr w:type="spellEnd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Сямженский</w:t>
            </w:r>
            <w:proofErr w:type="spellEnd"/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Харовский</w:t>
            </w:r>
            <w:proofErr w:type="spellEnd"/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22365B" w:rsidRPr="009739B2" w:rsidTr="009D5B75">
        <w:trPr>
          <w:jc w:val="center"/>
        </w:trPr>
        <w:tc>
          <w:tcPr>
            <w:tcW w:w="2802" w:type="dxa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г.Череповец</w:t>
            </w:r>
            <w:proofErr w:type="spellEnd"/>
          </w:p>
        </w:tc>
        <w:tc>
          <w:tcPr>
            <w:tcW w:w="1687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09" w:type="dxa"/>
            <w:vAlign w:val="center"/>
          </w:tcPr>
          <w:p w:rsidR="0022365B" w:rsidRPr="00AE5F24" w:rsidRDefault="0022365B" w:rsidP="009D5B75">
            <w:pPr>
              <w:tabs>
                <w:tab w:val="left" w:pos="712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23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0" w:type="dxa"/>
            <w:vAlign w:val="center"/>
          </w:tcPr>
          <w:p w:rsidR="0022365B" w:rsidRPr="00AE5F24" w:rsidRDefault="0022365B" w:rsidP="009D5B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F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9D5B75" w:rsidRPr="0022365B" w:rsidRDefault="009D5B75" w:rsidP="009D5B75">
      <w:pPr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22365B">
        <w:rPr>
          <w:rFonts w:ascii="Times New Roman" w:hAnsi="Times New Roman" w:cs="Times New Roman"/>
          <w:sz w:val="24"/>
          <w:szCs w:val="24"/>
        </w:rPr>
        <w:t xml:space="preserve">Источник: данные </w:t>
      </w:r>
      <w:r>
        <w:rPr>
          <w:rFonts w:ascii="Times New Roman" w:hAnsi="Times New Roman" w:cs="Times New Roman"/>
          <w:sz w:val="24"/>
          <w:szCs w:val="24"/>
        </w:rPr>
        <w:t xml:space="preserve">Росстата, </w:t>
      </w:r>
      <w:r w:rsidRPr="0022365B">
        <w:rPr>
          <w:rFonts w:ascii="Times New Roman" w:hAnsi="Times New Roman" w:cs="Times New Roman"/>
          <w:sz w:val="24"/>
          <w:szCs w:val="24"/>
        </w:rPr>
        <w:t>Департамента финансов Вологодской области, расчёты автора.</w:t>
      </w:r>
    </w:p>
    <w:p w:rsidR="0022365B" w:rsidRPr="009D5B75" w:rsidRDefault="0022365B" w:rsidP="009D5B75">
      <w:pPr>
        <w:tabs>
          <w:tab w:val="left" w:pos="7120"/>
        </w:tabs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9D5B75" w:rsidRPr="009D5B75" w:rsidRDefault="009D5B75" w:rsidP="009D5B7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</w:pPr>
      <w:r w:rsidRPr="009D5B75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Предлагаемые меры:</w:t>
      </w:r>
    </w:p>
    <w:p w:rsidR="009D5B75" w:rsidRPr="009D5B75" w:rsidRDefault="009D5B75" w:rsidP="009D5B75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обоснование подхода </w:t>
      </w:r>
      <w:r w:rsidR="0022365B"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 установлению налоговых ставок, принимая во вн</w:t>
      </w:r>
      <w:r w:rsidR="0022365B"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="0022365B"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мание уровень социально-экономического развития муниципального образования и уровень достатка его жителей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2365B" w:rsidRPr="009D5B75" w:rsidRDefault="0022365B" w:rsidP="009D5B75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B75">
        <w:rPr>
          <w:rFonts w:ascii="Times New Roman" w:hAnsi="Times New Roman" w:cs="Times New Roman"/>
          <w:sz w:val="28"/>
          <w:szCs w:val="28"/>
        </w:rPr>
        <w:t>прове</w:t>
      </w:r>
      <w:r w:rsidR="009D5B75" w:rsidRPr="009D5B75">
        <w:rPr>
          <w:rFonts w:ascii="Times New Roman" w:hAnsi="Times New Roman" w:cs="Times New Roman"/>
          <w:sz w:val="28"/>
          <w:szCs w:val="28"/>
        </w:rPr>
        <w:t>дение</w:t>
      </w:r>
      <w:r w:rsidRPr="009D5B75"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9D5B75" w:rsidRPr="009D5B75">
        <w:rPr>
          <w:rFonts w:ascii="Times New Roman" w:hAnsi="Times New Roman" w:cs="Times New Roman"/>
          <w:sz w:val="28"/>
          <w:szCs w:val="28"/>
        </w:rPr>
        <w:t>а</w:t>
      </w:r>
      <w:r w:rsidRPr="009D5B75">
        <w:rPr>
          <w:rFonts w:ascii="Times New Roman" w:hAnsi="Times New Roman" w:cs="Times New Roman"/>
          <w:sz w:val="28"/>
          <w:szCs w:val="28"/>
        </w:rPr>
        <w:t xml:space="preserve"> финансовой обоснованности корректирующих коэфф</w:t>
      </w:r>
      <w:r w:rsidRPr="009D5B75">
        <w:rPr>
          <w:rFonts w:ascii="Times New Roman" w:hAnsi="Times New Roman" w:cs="Times New Roman"/>
          <w:sz w:val="28"/>
          <w:szCs w:val="28"/>
        </w:rPr>
        <w:t>и</w:t>
      </w:r>
      <w:r w:rsidRPr="009D5B75">
        <w:rPr>
          <w:rFonts w:ascii="Times New Roman" w:hAnsi="Times New Roman" w:cs="Times New Roman"/>
          <w:sz w:val="28"/>
          <w:szCs w:val="28"/>
        </w:rPr>
        <w:t>циентов по</w:t>
      </w:r>
      <w:r w:rsidR="009D5B75" w:rsidRPr="009D5B75">
        <w:rPr>
          <w:rFonts w:ascii="Times New Roman" w:hAnsi="Times New Roman" w:cs="Times New Roman"/>
          <w:sz w:val="28"/>
          <w:szCs w:val="28"/>
        </w:rPr>
        <w:t xml:space="preserve"> специальным налоговым режимам и имущественным налогам</w:t>
      </w:r>
      <w:r w:rsidRPr="009D5B75">
        <w:rPr>
          <w:rFonts w:ascii="Times New Roman" w:hAnsi="Times New Roman" w:cs="Times New Roman"/>
          <w:sz w:val="28"/>
          <w:szCs w:val="28"/>
        </w:rPr>
        <w:t xml:space="preserve"> на пре</w:t>
      </w:r>
      <w:r w:rsidRPr="009D5B75">
        <w:rPr>
          <w:rFonts w:ascii="Times New Roman" w:hAnsi="Times New Roman" w:cs="Times New Roman"/>
          <w:sz w:val="28"/>
          <w:szCs w:val="28"/>
        </w:rPr>
        <w:t>д</w:t>
      </w:r>
      <w:r w:rsidRPr="009D5B75">
        <w:rPr>
          <w:rFonts w:ascii="Times New Roman" w:hAnsi="Times New Roman" w:cs="Times New Roman"/>
          <w:sz w:val="28"/>
          <w:szCs w:val="28"/>
        </w:rPr>
        <w:t>мет их соответствия экономическому положению территорий с учётом достижения баланса интересов малого бизнеса и местных бюджетов.</w:t>
      </w:r>
    </w:p>
    <w:p w:rsidR="0022365B" w:rsidRDefault="0022365B" w:rsidP="009D5B7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Расчет количественного эффекта в виде дополнительных налоговых поступл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ний в местные бюджеты по данным мероприятиям затруднен вследствие ограниче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ности данных, представленных в открытом доступе муниципальной статистики, </w:t>
      </w:r>
      <w:r w:rsidR="0084331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высокой вариативности возможных результатов по расширению потенциала мес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</w:t>
      </w:r>
      <w:r w:rsidRPr="009D5B7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ных бюджетов.</w:t>
      </w:r>
    </w:p>
    <w:p w:rsidR="00D36C00" w:rsidRDefault="00D36C00" w:rsidP="009D5B7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Важно отметить, что реализация обозначенных мер приблизит муниципал</w:t>
      </w: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</w:t>
      </w: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ные образования к их становлению равноправными участниками стратегического планирования не на бумаге, а по факту, но потребует целенаправленной и слаже</w:t>
      </w: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</w:t>
      </w:r>
      <w:r w:rsidRPr="00D36C0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ной работы на всех уровнях бюджетной системы.</w:t>
      </w:r>
    </w:p>
    <w:p w:rsidR="00D36C00" w:rsidRPr="00D36C00" w:rsidRDefault="00D36C00" w:rsidP="009D5B7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36C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Литература </w:t>
      </w:r>
    </w:p>
    <w:p w:rsidR="00D36C00" w:rsidRPr="00D36C00" w:rsidRDefault="00D36C00" w:rsidP="00D36C00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6C00">
        <w:rPr>
          <w:rFonts w:ascii="Times New Roman" w:hAnsi="Times New Roman" w:cs="Times New Roman"/>
          <w:sz w:val="28"/>
          <w:szCs w:val="28"/>
        </w:rPr>
        <w:lastRenderedPageBreak/>
        <w:t>Бухвальд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>, Е.М. О бюджетных ограничениях муниципального стратег</w:t>
      </w:r>
      <w:r w:rsidRPr="00D36C00">
        <w:rPr>
          <w:rFonts w:ascii="Times New Roman" w:hAnsi="Times New Roman" w:cs="Times New Roman"/>
          <w:sz w:val="28"/>
          <w:szCs w:val="28"/>
        </w:rPr>
        <w:t>и</w:t>
      </w:r>
      <w:r w:rsidRPr="00D36C00">
        <w:rPr>
          <w:rFonts w:ascii="Times New Roman" w:hAnsi="Times New Roman" w:cs="Times New Roman"/>
          <w:sz w:val="28"/>
          <w:szCs w:val="28"/>
        </w:rPr>
        <w:t xml:space="preserve">ческого планирования [Текст] / Е.М.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Бухвальд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Печенская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 // Самоуправление. – 2016. – №9 (102) – С. 16-20.</w:t>
      </w:r>
    </w:p>
    <w:p w:rsidR="00D36C00" w:rsidRPr="00D36C00" w:rsidRDefault="00D36C00" w:rsidP="00D36C00">
      <w:pPr>
        <w:pStyle w:val="ab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36C00">
        <w:rPr>
          <w:sz w:val="28"/>
          <w:szCs w:val="28"/>
        </w:rPr>
        <w:t xml:space="preserve">Бюджетный кодекс Российской Федерации. – М. : </w:t>
      </w:r>
      <w:proofErr w:type="spellStart"/>
      <w:r w:rsidRPr="00D36C00">
        <w:rPr>
          <w:sz w:val="28"/>
          <w:szCs w:val="28"/>
        </w:rPr>
        <w:t>Эксмо</w:t>
      </w:r>
      <w:proofErr w:type="spellEnd"/>
      <w:r w:rsidRPr="00D36C00">
        <w:rPr>
          <w:sz w:val="28"/>
          <w:szCs w:val="28"/>
        </w:rPr>
        <w:t>, 2017. – 432 с.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C00">
        <w:rPr>
          <w:rFonts w:ascii="Times New Roman" w:hAnsi="Times New Roman" w:cs="Times New Roman"/>
          <w:sz w:val="28"/>
          <w:szCs w:val="28"/>
        </w:rPr>
        <w:t xml:space="preserve">Ильин, В. А. Методы преодоления пространственной социально-экономической дифференциации [Текст] / В.А. Ильин, Т.В.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Ускова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 // Федерализм. – 2012. – № 3. – С. 7-18. 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C00">
        <w:rPr>
          <w:rFonts w:ascii="Times New Roman" w:hAnsi="Times New Roman" w:cs="Times New Roman"/>
          <w:sz w:val="28"/>
          <w:szCs w:val="28"/>
        </w:rPr>
        <w:t>Информация о результатах проведения мониторинга исполнения мес</w:t>
      </w:r>
      <w:r w:rsidRPr="00D36C00">
        <w:rPr>
          <w:rFonts w:ascii="Times New Roman" w:hAnsi="Times New Roman" w:cs="Times New Roman"/>
          <w:sz w:val="28"/>
          <w:szCs w:val="28"/>
        </w:rPr>
        <w:t>т</w:t>
      </w:r>
      <w:r w:rsidRPr="00D36C00">
        <w:rPr>
          <w:rFonts w:ascii="Times New Roman" w:hAnsi="Times New Roman" w:cs="Times New Roman"/>
          <w:sz w:val="28"/>
          <w:szCs w:val="28"/>
        </w:rPr>
        <w:t>ных бюджетов и межбюджетных отношений в субъектах РФ на региональном и м</w:t>
      </w:r>
      <w:r w:rsidRPr="00D36C00">
        <w:rPr>
          <w:rFonts w:ascii="Times New Roman" w:hAnsi="Times New Roman" w:cs="Times New Roman"/>
          <w:sz w:val="28"/>
          <w:szCs w:val="28"/>
        </w:rPr>
        <w:t>у</w:t>
      </w:r>
      <w:r w:rsidRPr="00D36C00">
        <w:rPr>
          <w:rFonts w:ascii="Times New Roman" w:hAnsi="Times New Roman" w:cs="Times New Roman"/>
          <w:sz w:val="28"/>
          <w:szCs w:val="28"/>
        </w:rPr>
        <w:t>ниципальном уровнях за 2015 год: Официальный сайт Министерства финансов РФ [Электронный ресурс]. – Режим доступа: http://minfin.ru/common/upload/library/2016/06/main/Rezultaty_provedeniya_monitoringa_mestnykh_budzhetov_za_2015_god.pdf</w:t>
      </w:r>
    </w:p>
    <w:p w:rsidR="00D36C00" w:rsidRPr="00D36C00" w:rsidRDefault="00D36C00" w:rsidP="00D36C00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C00">
        <w:rPr>
          <w:rFonts w:ascii="Times New Roman" w:hAnsi="Times New Roman" w:cs="Times New Roman"/>
          <w:sz w:val="28"/>
          <w:szCs w:val="28"/>
        </w:rPr>
        <w:t xml:space="preserve">Налоговый кодекс Российской Федерации. Части первая и вторая [Текст] : текст с изм. и доп. – М. :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>, 2017. – 1488 с.</w:t>
      </w:r>
    </w:p>
    <w:p w:rsidR="00D36C00" w:rsidRPr="00D36C00" w:rsidRDefault="00D36C00" w:rsidP="00D36C00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C0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</w:t>
      </w:r>
      <w:r w:rsidRPr="00D36C00">
        <w:rPr>
          <w:rFonts w:ascii="Times New Roman" w:hAnsi="Times New Roman" w:cs="Times New Roman"/>
          <w:sz w:val="28"/>
          <w:szCs w:val="28"/>
        </w:rPr>
        <w:t>й</w:t>
      </w:r>
      <w:r w:rsidRPr="00D36C00">
        <w:rPr>
          <w:rFonts w:ascii="Times New Roman" w:hAnsi="Times New Roman" w:cs="Times New Roman"/>
          <w:sz w:val="28"/>
          <w:szCs w:val="28"/>
        </w:rPr>
        <w:t xml:space="preserve">ской Федерации [Электронный ресурс] : Федеральный закон от 06.10.2003 №131-ФЗ (ред. от 03.01.2017) //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 : справочно-поисковая система;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C00">
        <w:rPr>
          <w:rFonts w:ascii="Times New Roman" w:hAnsi="Times New Roman" w:cs="Times New Roman"/>
          <w:sz w:val="28"/>
          <w:szCs w:val="28"/>
        </w:rPr>
        <w:t>Одинцова, А.В. Местное самоуправление как институт развития / А.В. Одинцова // Федерализм. – 2015. – № 2 (78). – С. 87-100.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Печенская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, М.А. Развитие межбюджетных отношений в России в 2000 – 2015 гг. / М.А.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Печенская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 // Проблемы прогнозирования. – 2017. –  №2. – С.117-130.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Полтерович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, В.М. Трансплантация экономических институтов / В.М. </w:t>
      </w:r>
      <w:proofErr w:type="spellStart"/>
      <w:r w:rsidRPr="00D36C00">
        <w:rPr>
          <w:rFonts w:ascii="Times New Roman" w:hAnsi="Times New Roman" w:cs="Times New Roman"/>
          <w:sz w:val="28"/>
          <w:szCs w:val="28"/>
        </w:rPr>
        <w:t>Полтерович</w:t>
      </w:r>
      <w:proofErr w:type="spellEnd"/>
      <w:r w:rsidRPr="00D36C00">
        <w:rPr>
          <w:rFonts w:ascii="Times New Roman" w:hAnsi="Times New Roman" w:cs="Times New Roman"/>
          <w:sz w:val="28"/>
          <w:szCs w:val="28"/>
        </w:rPr>
        <w:t xml:space="preserve"> // Экономическая наука современной России. – 2001. – № 3. – С. 24-50.</w:t>
      </w:r>
    </w:p>
    <w:p w:rsidR="00D36C00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6C00">
        <w:rPr>
          <w:rFonts w:ascii="Times New Roman" w:hAnsi="Times New Roman" w:cs="Times New Roman"/>
          <w:sz w:val="28"/>
          <w:szCs w:val="28"/>
          <w:lang w:val="en-US"/>
        </w:rPr>
        <w:t xml:space="preserve">Ashworth, G. Selling the City: Marketing Approaches in Public Sector Urban Planning [Text] / G. Ashworth, H. </w:t>
      </w:r>
      <w:proofErr w:type="spellStart"/>
      <w:r w:rsidRPr="00D36C00">
        <w:rPr>
          <w:rFonts w:ascii="Times New Roman" w:hAnsi="Times New Roman" w:cs="Times New Roman"/>
          <w:sz w:val="28"/>
          <w:szCs w:val="28"/>
          <w:lang w:val="en-US"/>
        </w:rPr>
        <w:t>Voogd</w:t>
      </w:r>
      <w:proofErr w:type="spellEnd"/>
      <w:r w:rsidRPr="00D36C00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smartTag w:uri="urn:schemas-microsoft-com:office:smarttags" w:element="place">
        <w:smartTag w:uri="urn:schemas-microsoft-com:office:smarttags" w:element="City">
          <w:r w:rsidRPr="00D36C00">
            <w:rPr>
              <w:rFonts w:ascii="Times New Roman" w:hAnsi="Times New Roman" w:cs="Times New Roman"/>
              <w:sz w:val="28"/>
              <w:szCs w:val="28"/>
              <w:lang w:val="en-US"/>
            </w:rPr>
            <w:t>London</w:t>
          </w:r>
        </w:smartTag>
      </w:smartTag>
      <w:r w:rsidRPr="00D36C00">
        <w:rPr>
          <w:rFonts w:ascii="Times New Roman" w:hAnsi="Times New Roman" w:cs="Times New Roman"/>
          <w:sz w:val="28"/>
          <w:szCs w:val="28"/>
          <w:lang w:val="en-US"/>
        </w:rPr>
        <w:t xml:space="preserve">: Belhaven, 1990. – 281 </w:t>
      </w:r>
      <w:r w:rsidRPr="00D36C00">
        <w:rPr>
          <w:rFonts w:ascii="Times New Roman" w:hAnsi="Times New Roman" w:cs="Times New Roman"/>
          <w:sz w:val="28"/>
          <w:szCs w:val="28"/>
        </w:rPr>
        <w:t>р</w:t>
      </w:r>
      <w:r w:rsidRPr="00D36C0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55942" w:rsidRPr="00D36C00" w:rsidRDefault="00D36C00" w:rsidP="00D36C00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6C00">
        <w:rPr>
          <w:rFonts w:ascii="Times New Roman" w:hAnsi="Times New Roman" w:cs="Times New Roman"/>
          <w:sz w:val="28"/>
          <w:szCs w:val="28"/>
          <w:lang w:val="en-US"/>
        </w:rPr>
        <w:t xml:space="preserve">Ward, S.V. Selling Places: The marketing and Promotion of Towns and Cities 1850-2000 [Text] / S.V. Ward. – </w:t>
      </w:r>
      <w:smartTag w:uri="urn:schemas-microsoft-com:office:smarttags" w:element="City">
        <w:r w:rsidRPr="00D36C00">
          <w:rPr>
            <w:rFonts w:ascii="Times New Roman" w:hAnsi="Times New Roman" w:cs="Times New Roman"/>
            <w:sz w:val="28"/>
            <w:szCs w:val="28"/>
            <w:lang w:val="en-US"/>
          </w:rPr>
          <w:t>London</w:t>
        </w:r>
      </w:smartTag>
      <w:r w:rsidRPr="00D36C00"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  <w:proofErr w:type="spellStart"/>
      <w:r w:rsidRPr="00D36C00">
        <w:rPr>
          <w:rFonts w:ascii="Times New Roman" w:hAnsi="Times New Roman" w:cs="Times New Roman"/>
          <w:sz w:val="28"/>
          <w:szCs w:val="28"/>
          <w:lang w:val="en-US"/>
        </w:rPr>
        <w:t>Spon</w:t>
      </w:r>
      <w:proofErr w:type="spellEnd"/>
    </w:p>
    <w:sectPr w:rsidR="00555942" w:rsidRPr="00D36C00" w:rsidSect="0022365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AD2" w:rsidRDefault="00720AD2" w:rsidP="004A2EF6">
      <w:pPr>
        <w:spacing w:after="0" w:line="240" w:lineRule="auto"/>
      </w:pPr>
      <w:r>
        <w:separator/>
      </w:r>
    </w:p>
  </w:endnote>
  <w:endnote w:type="continuationSeparator" w:id="0">
    <w:p w:rsidR="00720AD2" w:rsidRDefault="00720AD2" w:rsidP="004A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AD2" w:rsidRDefault="00720AD2" w:rsidP="004A2EF6">
      <w:pPr>
        <w:spacing w:after="0" w:line="240" w:lineRule="auto"/>
      </w:pPr>
      <w:r>
        <w:separator/>
      </w:r>
    </w:p>
  </w:footnote>
  <w:footnote w:type="continuationSeparator" w:id="0">
    <w:p w:rsidR="00720AD2" w:rsidRDefault="00720AD2" w:rsidP="004A2EF6">
      <w:pPr>
        <w:spacing w:after="0" w:line="240" w:lineRule="auto"/>
      </w:pPr>
      <w:r>
        <w:continuationSeparator/>
      </w:r>
    </w:p>
  </w:footnote>
  <w:footnote w:id="1">
    <w:p w:rsidR="009D5B75" w:rsidRPr="009D5B75" w:rsidRDefault="009D5B75" w:rsidP="009D5B7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D5B75">
        <w:rPr>
          <w:rStyle w:val="aa"/>
          <w:rFonts w:ascii="Times New Roman" w:hAnsi="Times New Roman" w:cs="Times New Roman"/>
          <w:sz w:val="20"/>
          <w:szCs w:val="20"/>
        </w:rPr>
        <w:footnoteRef/>
      </w:r>
      <w:r w:rsidRPr="009D5B75">
        <w:rPr>
          <w:rFonts w:ascii="Times New Roman" w:hAnsi="Times New Roman" w:cs="Times New Roman"/>
          <w:sz w:val="20"/>
          <w:szCs w:val="20"/>
        </w:rPr>
        <w:t xml:space="preserve"> Формирование отчёта в начале следующего финансового года не позволяет при составлении бюджета на очередной год учитывать недостатки бюджетного процесса прошлого года. Разрыв между отчётом об исполнении бюджета предыдущего года и планированием бюджета на очередной год приводит к тому, что неэффективные направления деятельности продолжают финансироваться, а на развитие новых приоритетов расходов недостаточно средств.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21EE8"/>
    <w:multiLevelType w:val="hybridMultilevel"/>
    <w:tmpl w:val="BFB63D8A"/>
    <w:lvl w:ilvl="0" w:tplc="A6AC81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C3D18AB"/>
    <w:multiLevelType w:val="hybridMultilevel"/>
    <w:tmpl w:val="197C0122"/>
    <w:lvl w:ilvl="0" w:tplc="A6AC81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EA5442C"/>
    <w:multiLevelType w:val="hybridMultilevel"/>
    <w:tmpl w:val="90F4673A"/>
    <w:lvl w:ilvl="0" w:tplc="243430CC">
      <w:start w:val="3"/>
      <w:numFmt w:val="decimal"/>
      <w:lvlText w:val="%1."/>
      <w:lvlJc w:val="left"/>
      <w:pPr>
        <w:ind w:left="108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0506E0"/>
    <w:multiLevelType w:val="hybridMultilevel"/>
    <w:tmpl w:val="C1546FAC"/>
    <w:lvl w:ilvl="0" w:tplc="A6AC81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80E4B6B"/>
    <w:multiLevelType w:val="hybridMultilevel"/>
    <w:tmpl w:val="6F9064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A0C32"/>
    <w:multiLevelType w:val="hybridMultilevel"/>
    <w:tmpl w:val="35FC52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B7000A"/>
    <w:multiLevelType w:val="hybridMultilevel"/>
    <w:tmpl w:val="41E68B1E"/>
    <w:lvl w:ilvl="0" w:tplc="A6AC81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CEB5305"/>
    <w:multiLevelType w:val="hybridMultilevel"/>
    <w:tmpl w:val="673026D2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3E300882"/>
    <w:multiLevelType w:val="hybridMultilevel"/>
    <w:tmpl w:val="79DC654A"/>
    <w:lvl w:ilvl="0" w:tplc="802819FE">
      <w:start w:val="3"/>
      <w:numFmt w:val="decimal"/>
      <w:lvlText w:val="%1)"/>
      <w:lvlJc w:val="left"/>
      <w:pPr>
        <w:ind w:left="108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6C211B"/>
    <w:multiLevelType w:val="hybridMultilevel"/>
    <w:tmpl w:val="651C39A2"/>
    <w:lvl w:ilvl="0" w:tplc="A6AC81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1740606"/>
    <w:multiLevelType w:val="hybridMultilevel"/>
    <w:tmpl w:val="B638105A"/>
    <w:lvl w:ilvl="0" w:tplc="73DAF752">
      <w:start w:val="3"/>
      <w:numFmt w:val="decimal"/>
      <w:lvlText w:val="%1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CB74FF"/>
    <w:multiLevelType w:val="hybridMultilevel"/>
    <w:tmpl w:val="49B29DDA"/>
    <w:lvl w:ilvl="0" w:tplc="0419000F">
      <w:start w:val="1"/>
      <w:numFmt w:val="decimal"/>
      <w:lvlText w:val="%1."/>
      <w:lvlJc w:val="left"/>
      <w:pPr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12">
    <w:nsid w:val="6D471C6A"/>
    <w:multiLevelType w:val="hybridMultilevel"/>
    <w:tmpl w:val="69AED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9"/>
  </w:num>
  <w:num w:numId="6">
    <w:abstractNumId w:val="7"/>
  </w:num>
  <w:num w:numId="7">
    <w:abstractNumId w:val="4"/>
  </w:num>
  <w:num w:numId="8">
    <w:abstractNumId w:val="12"/>
  </w:num>
  <w:num w:numId="9">
    <w:abstractNumId w:val="10"/>
  </w:num>
  <w:num w:numId="10">
    <w:abstractNumId w:val="2"/>
  </w:num>
  <w:num w:numId="11">
    <w:abstractNumId w:val="8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4E1"/>
    <w:rsid w:val="00056031"/>
    <w:rsid w:val="000A29B5"/>
    <w:rsid w:val="00116BFE"/>
    <w:rsid w:val="00143083"/>
    <w:rsid w:val="00207A6F"/>
    <w:rsid w:val="0022365B"/>
    <w:rsid w:val="00253845"/>
    <w:rsid w:val="002B641C"/>
    <w:rsid w:val="002F3905"/>
    <w:rsid w:val="00304673"/>
    <w:rsid w:val="003575F5"/>
    <w:rsid w:val="00390514"/>
    <w:rsid w:val="00393A77"/>
    <w:rsid w:val="003F0C49"/>
    <w:rsid w:val="003F6CC3"/>
    <w:rsid w:val="004147CA"/>
    <w:rsid w:val="00460760"/>
    <w:rsid w:val="00461E3A"/>
    <w:rsid w:val="0049108C"/>
    <w:rsid w:val="004A1DEB"/>
    <w:rsid w:val="004A2EF6"/>
    <w:rsid w:val="00501FAB"/>
    <w:rsid w:val="00512B9A"/>
    <w:rsid w:val="0054142B"/>
    <w:rsid w:val="00555942"/>
    <w:rsid w:val="005A70D1"/>
    <w:rsid w:val="005C79DF"/>
    <w:rsid w:val="005F1850"/>
    <w:rsid w:val="00605AA5"/>
    <w:rsid w:val="00615A4D"/>
    <w:rsid w:val="0068544A"/>
    <w:rsid w:val="00720AD2"/>
    <w:rsid w:val="0072653A"/>
    <w:rsid w:val="00740A4F"/>
    <w:rsid w:val="007667F4"/>
    <w:rsid w:val="007C3A7C"/>
    <w:rsid w:val="0084331C"/>
    <w:rsid w:val="00867A5A"/>
    <w:rsid w:val="008F153C"/>
    <w:rsid w:val="009065D6"/>
    <w:rsid w:val="00960DDC"/>
    <w:rsid w:val="00963084"/>
    <w:rsid w:val="0096656D"/>
    <w:rsid w:val="009739B2"/>
    <w:rsid w:val="00983E0A"/>
    <w:rsid w:val="009B0961"/>
    <w:rsid w:val="009B0C74"/>
    <w:rsid w:val="009B2722"/>
    <w:rsid w:val="009D5B75"/>
    <w:rsid w:val="00A141D2"/>
    <w:rsid w:val="00A555DC"/>
    <w:rsid w:val="00A6696D"/>
    <w:rsid w:val="00AC2769"/>
    <w:rsid w:val="00AE5F24"/>
    <w:rsid w:val="00AE610C"/>
    <w:rsid w:val="00B045D5"/>
    <w:rsid w:val="00B54A13"/>
    <w:rsid w:val="00BE2012"/>
    <w:rsid w:val="00BE4CF2"/>
    <w:rsid w:val="00BE7F0A"/>
    <w:rsid w:val="00C5393C"/>
    <w:rsid w:val="00C83A4B"/>
    <w:rsid w:val="00C83BDF"/>
    <w:rsid w:val="00CF0571"/>
    <w:rsid w:val="00D16092"/>
    <w:rsid w:val="00D36C00"/>
    <w:rsid w:val="00D71A1F"/>
    <w:rsid w:val="00DF4B26"/>
    <w:rsid w:val="00E027AB"/>
    <w:rsid w:val="00E15AE3"/>
    <w:rsid w:val="00E17253"/>
    <w:rsid w:val="00E364E1"/>
    <w:rsid w:val="00E93A38"/>
    <w:rsid w:val="00EA10FA"/>
    <w:rsid w:val="00EB4443"/>
    <w:rsid w:val="00EE3DD3"/>
    <w:rsid w:val="00EF0BA3"/>
    <w:rsid w:val="00F02BA8"/>
    <w:rsid w:val="00F117B7"/>
    <w:rsid w:val="00F14426"/>
    <w:rsid w:val="00F454F9"/>
    <w:rsid w:val="00F645B2"/>
    <w:rsid w:val="00F77DFD"/>
    <w:rsid w:val="00FE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0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0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A4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55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10">
    <w:name w:val="A1"/>
    <w:rsid w:val="00253845"/>
    <w:rPr>
      <w:rFonts w:cs="Arial"/>
      <w:color w:val="000000"/>
      <w:sz w:val="20"/>
      <w:szCs w:val="20"/>
    </w:rPr>
  </w:style>
  <w:style w:type="character" w:styleId="a7">
    <w:name w:val="Hyperlink"/>
    <w:basedOn w:val="a0"/>
    <w:rsid w:val="005F1850"/>
    <w:rPr>
      <w:color w:val="0000FF"/>
      <w:u w:val="single"/>
    </w:rPr>
  </w:style>
  <w:style w:type="paragraph" w:customStyle="1" w:styleId="1">
    <w:name w:val="Знак Знак Знак Знак Знак Знак Знак Знак Знак Знак1 Знак Знак Знак Знак Знак Знак Знак"/>
    <w:basedOn w:val="a"/>
    <w:rsid w:val="005F185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footnote text"/>
    <w:aliases w:val="single space,Знак Знак Знак,Текст сноски Знак1 Знак,Текст сноски Знак Знак Знак,Footnote Text Char Знак Знак,Footnote Text Char Знак,Текст сноски-FN,Oaeno niinee-FN,Oaeno niinee Ciae,Table_Footnote_last Знак"/>
    <w:basedOn w:val="a"/>
    <w:link w:val="10"/>
    <w:semiHidden/>
    <w:rsid w:val="004A2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uiPriority w:val="99"/>
    <w:semiHidden/>
    <w:rsid w:val="004A2EF6"/>
    <w:rPr>
      <w:sz w:val="20"/>
      <w:szCs w:val="20"/>
    </w:rPr>
  </w:style>
  <w:style w:type="character" w:customStyle="1" w:styleId="10">
    <w:name w:val="Текст сноски Знак1"/>
    <w:aliases w:val="single space Знак,Знак Знак Знак Знак,Текст сноски Знак1 Знак Знак,Текст сноски Знак Знак Знак Знак,Footnote Text Char Знак Знак Знак,Footnote Text Char Знак Знак1,Текст сноски-FN Знак,Oaeno niinee-FN Знак,Oaeno niinee Ciae Знак"/>
    <w:basedOn w:val="a0"/>
    <w:link w:val="a8"/>
    <w:semiHidden/>
    <w:rsid w:val="004A2E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Знак сноски-FN,Знак сноски 1,Ciae niinee-FN,анкета сноска,Ciae niinee 1"/>
    <w:basedOn w:val="a0"/>
    <w:semiHidden/>
    <w:rsid w:val="004A2EF6"/>
    <w:rPr>
      <w:vertAlign w:val="superscript"/>
    </w:rPr>
  </w:style>
  <w:style w:type="paragraph" w:styleId="2">
    <w:name w:val="Body Text Indent 2"/>
    <w:aliases w:val=" Знак1"/>
    <w:basedOn w:val="a"/>
    <w:link w:val="20"/>
    <w:rsid w:val="004A2EF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aliases w:val=" Знак1 Знак"/>
    <w:basedOn w:val="a0"/>
    <w:link w:val="2"/>
    <w:rsid w:val="004A2E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D36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0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0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A4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55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10">
    <w:name w:val="A1"/>
    <w:rsid w:val="00253845"/>
    <w:rPr>
      <w:rFonts w:cs="Arial"/>
      <w:color w:val="000000"/>
      <w:sz w:val="20"/>
      <w:szCs w:val="20"/>
    </w:rPr>
  </w:style>
  <w:style w:type="character" w:styleId="a7">
    <w:name w:val="Hyperlink"/>
    <w:basedOn w:val="a0"/>
    <w:rsid w:val="005F1850"/>
    <w:rPr>
      <w:color w:val="0000FF"/>
      <w:u w:val="single"/>
    </w:rPr>
  </w:style>
  <w:style w:type="paragraph" w:customStyle="1" w:styleId="1">
    <w:name w:val="Знак Знак Знак Знак Знак Знак Знак Знак Знак Знак1 Знак Знак Знак Знак Знак Знак Знак"/>
    <w:basedOn w:val="a"/>
    <w:rsid w:val="005F185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footnote text"/>
    <w:aliases w:val="single space,Знак Знак Знак,Текст сноски Знак1 Знак,Текст сноски Знак Знак Знак,Footnote Text Char Знак Знак,Footnote Text Char Знак,Текст сноски-FN,Oaeno niinee-FN,Oaeno niinee Ciae,Table_Footnote_last Знак"/>
    <w:basedOn w:val="a"/>
    <w:link w:val="10"/>
    <w:semiHidden/>
    <w:rsid w:val="004A2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uiPriority w:val="99"/>
    <w:semiHidden/>
    <w:rsid w:val="004A2EF6"/>
    <w:rPr>
      <w:sz w:val="20"/>
      <w:szCs w:val="20"/>
    </w:rPr>
  </w:style>
  <w:style w:type="character" w:customStyle="1" w:styleId="10">
    <w:name w:val="Текст сноски Знак1"/>
    <w:aliases w:val="single space Знак,Знак Знак Знак Знак,Текст сноски Знак1 Знак Знак,Текст сноски Знак Знак Знак Знак,Footnote Text Char Знак Знак Знак,Footnote Text Char Знак Знак1,Текст сноски-FN Знак,Oaeno niinee-FN Знак,Oaeno niinee Ciae Знак"/>
    <w:basedOn w:val="a0"/>
    <w:link w:val="a8"/>
    <w:semiHidden/>
    <w:rsid w:val="004A2E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Знак сноски-FN,Знак сноски 1,Ciae niinee-FN,анкета сноска,Ciae niinee 1"/>
    <w:basedOn w:val="a0"/>
    <w:semiHidden/>
    <w:rsid w:val="004A2EF6"/>
    <w:rPr>
      <w:vertAlign w:val="superscript"/>
    </w:rPr>
  </w:style>
  <w:style w:type="paragraph" w:styleId="2">
    <w:name w:val="Body Text Indent 2"/>
    <w:aliases w:val=" Знак1"/>
    <w:basedOn w:val="a"/>
    <w:link w:val="20"/>
    <w:rsid w:val="004A2EF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aliases w:val=" Знак1 Знак"/>
    <w:basedOn w:val="a0"/>
    <w:link w:val="2"/>
    <w:rsid w:val="004A2E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D36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3595800524934381E-2"/>
          <c:y val="8.1479606046028816E-2"/>
          <c:w val="0.83444884188248092"/>
          <c:h val="0.71957669291338577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Лист1!$A$12</c:f>
              <c:strCache>
                <c:ptCount val="1"/>
                <c:pt idx="0">
                  <c:v>сумма, млн. руб.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 w="25400">
              <a:noFill/>
            </a:ln>
          </c:spPr>
          <c:invertIfNegative val="0"/>
          <c:dLbls>
            <c:numFmt formatCode="#,##0.0" sourceLinked="0"/>
            <c:spPr>
              <a:solidFill>
                <a:schemeClr val="bg1"/>
              </a:solidFill>
              <a:ln w="9525">
                <a:solidFill>
                  <a:schemeClr val="tx1"/>
                </a:solidFill>
              </a:ln>
            </c:spPr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Лист1!$B$11:$M$11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Лист1!$B$12:$M$12</c:f>
              <c:numCache>
                <c:formatCode>#,##0.00</c:formatCode>
                <c:ptCount val="12"/>
                <c:pt idx="0">
                  <c:v>36.075400000000002</c:v>
                </c:pt>
                <c:pt idx="1">
                  <c:v>70.769199999999998</c:v>
                </c:pt>
                <c:pt idx="2">
                  <c:v>124.05710000000001</c:v>
                </c:pt>
                <c:pt idx="3">
                  <c:v>123.10170000000004</c:v>
                </c:pt>
                <c:pt idx="4">
                  <c:v>116.92280000000002</c:v>
                </c:pt>
                <c:pt idx="5">
                  <c:v>111.84509999999995</c:v>
                </c:pt>
                <c:pt idx="6">
                  <c:v>116.86869999999992</c:v>
                </c:pt>
                <c:pt idx="7">
                  <c:v>85.943999999999946</c:v>
                </c:pt>
                <c:pt idx="8">
                  <c:v>90.588999999999942</c:v>
                </c:pt>
                <c:pt idx="9">
                  <c:v>113.00640000000011</c:v>
                </c:pt>
                <c:pt idx="10">
                  <c:v>77.151799999999753</c:v>
                </c:pt>
                <c:pt idx="11">
                  <c:v>185.31219999999993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"/>
        <c:axId val="170599936"/>
        <c:axId val="170601472"/>
      </c:barChart>
      <c:lineChart>
        <c:grouping val="standard"/>
        <c:varyColors val="0"/>
        <c:ser>
          <c:idx val="0"/>
          <c:order val="1"/>
          <c:tx>
            <c:strRef>
              <c:f>Лист1!$A$13</c:f>
              <c:strCache>
                <c:ptCount val="1"/>
                <c:pt idx="0">
                  <c:v>доля в общей сумме межбюджетных трансфертов, %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circle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dLbl>
              <c:idx val="10"/>
              <c:layout>
                <c:manualLayout>
                  <c:x val="-3.5790598290598288E-2"/>
                  <c:y val="-0.1026785714285714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.0" sourceLinked="0"/>
            <c:spPr>
              <a:noFill/>
              <a:ln w="25400">
                <a:noFill/>
              </a:ln>
              <a:effectLst>
                <a:outerShdw dist="35921" dir="2700000" algn="br">
                  <a:srgbClr val="000000"/>
                </a:outerShdw>
              </a:effectLst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Лист1!$B$11:$M$11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Лист1!$B$13:$M$13</c:f>
              <c:numCache>
                <c:formatCode>0.00</c:formatCode>
                <c:ptCount val="12"/>
                <c:pt idx="0">
                  <c:v>2.8822426579327631</c:v>
                </c:pt>
                <c:pt idx="1">
                  <c:v>5.6541024384421315</c:v>
                </c:pt>
                <c:pt idx="2">
                  <c:v>9.911537103938711</c:v>
                </c:pt>
                <c:pt idx="3">
                  <c:v>9.8352054586793685</c:v>
                </c:pt>
                <c:pt idx="4">
                  <c:v>9.341542487261151</c:v>
                </c:pt>
                <c:pt idx="5">
                  <c:v>8.9358598463428134</c:v>
                </c:pt>
                <c:pt idx="6">
                  <c:v>9.3372201698982256</c:v>
                </c:pt>
                <c:pt idx="7">
                  <c:v>6.8664924850001166</c:v>
                </c:pt>
                <c:pt idx="8">
                  <c:v>7.2376045765111652</c:v>
                </c:pt>
                <c:pt idx="9">
                  <c:v>9.0286418639686126</c:v>
                </c:pt>
                <c:pt idx="10">
                  <c:v>6.1640400133136772</c:v>
                </c:pt>
                <c:pt idx="11">
                  <c:v>14.80551089871124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0603264"/>
        <c:axId val="170604800"/>
      </c:lineChart>
      <c:catAx>
        <c:axId val="170599936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ru-RU"/>
          </a:p>
        </c:txPr>
        <c:crossAx val="17060147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0601472"/>
        <c:scaling>
          <c:orientation val="minMax"/>
        </c:scaling>
        <c:delete val="0"/>
        <c:axPos val="l"/>
        <c:numFmt formatCode="0" sourceLinked="0"/>
        <c:majorTickMark val="cross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ru-RU"/>
          </a:p>
        </c:txPr>
        <c:crossAx val="170599936"/>
        <c:crosses val="autoZero"/>
        <c:crossBetween val="between"/>
      </c:valAx>
      <c:catAx>
        <c:axId val="17060326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70604800"/>
        <c:crosses val="autoZero"/>
        <c:auto val="0"/>
        <c:lblAlgn val="ctr"/>
        <c:lblOffset val="100"/>
        <c:noMultiLvlLbl val="0"/>
      </c:catAx>
      <c:valAx>
        <c:axId val="170604800"/>
        <c:scaling>
          <c:orientation val="minMax"/>
        </c:scaling>
        <c:delete val="0"/>
        <c:axPos val="r"/>
        <c:numFmt formatCode="0.0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170603264"/>
        <c:crosses val="max"/>
        <c:crossBetween val="between"/>
      </c:valAx>
      <c:spPr>
        <a:solidFill>
          <a:srgbClr val="FFFFFF"/>
        </a:solidFill>
        <a:ln w="25400">
          <a:noFill/>
        </a:ln>
      </c:spPr>
    </c:plotArea>
    <c:legend>
      <c:legendPos val="b"/>
      <c:layout>
        <c:manualLayout>
          <c:xMode val="edge"/>
          <c:yMode val="edge"/>
          <c:x val="0.25250854118095573"/>
          <c:y val="0.90071231387338724"/>
          <c:w val="0.51337834865613874"/>
          <c:h val="7.8014422954412299E-2"/>
        </c:manualLayout>
      </c:layout>
      <c:overlay val="0"/>
      <c:spPr>
        <a:solidFill>
          <a:srgbClr val="FFFFFF"/>
        </a:solidFill>
        <a:ln w="25400">
          <a:noFill/>
        </a:ln>
      </c:sp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 panose="02020603050405020304" pitchFamily="18" charset="0"/>
          <a:ea typeface="Arial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2592</Words>
  <Characters>14778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Микляева</dc:creator>
  <cp:lastModifiedBy>Мария А. Печенская</cp:lastModifiedBy>
  <cp:revision>5</cp:revision>
  <cp:lastPrinted>2017-04-14T12:46:00Z</cp:lastPrinted>
  <dcterms:created xsi:type="dcterms:W3CDTF">2017-05-16T06:46:00Z</dcterms:created>
  <dcterms:modified xsi:type="dcterms:W3CDTF">2017-05-16T08:01:00Z</dcterms:modified>
</cp:coreProperties>
</file>