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A27" w:rsidRPr="003B5A27" w:rsidRDefault="003B5A27" w:rsidP="003B5A27">
      <w:pPr>
        <w:spacing w:after="0" w:line="360" w:lineRule="auto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УДК 336.712</w:t>
      </w:r>
    </w:p>
    <w:p w:rsidR="003B5A27" w:rsidRPr="003B5A27" w:rsidRDefault="003B5A27" w:rsidP="003B5A27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</w:rPr>
      </w:pPr>
    </w:p>
    <w:p w:rsidR="003B5A27" w:rsidRPr="003B5A27" w:rsidRDefault="003B5A27" w:rsidP="003B5A27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</w:rPr>
      </w:pPr>
      <w:proofErr w:type="spellStart"/>
      <w:r w:rsidRPr="003B5A27">
        <w:rPr>
          <w:rFonts w:ascii="Times New Roman" w:eastAsia="Calibri" w:hAnsi="Times New Roman" w:cs="Times New Roman"/>
          <w:sz w:val="24"/>
        </w:rPr>
        <w:t>Бушукина</w:t>
      </w:r>
      <w:proofErr w:type="spellEnd"/>
      <w:r w:rsidRPr="003B5A27">
        <w:rPr>
          <w:rFonts w:ascii="Times New Roman" w:eastAsia="Calibri" w:hAnsi="Times New Roman" w:cs="Times New Roman"/>
          <w:sz w:val="24"/>
        </w:rPr>
        <w:t xml:space="preserve"> В. И.</w:t>
      </w:r>
    </w:p>
    <w:p w:rsidR="003B5A27" w:rsidRPr="003B5A27" w:rsidRDefault="003B5A27" w:rsidP="003B5A27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 xml:space="preserve">ОЦЕНКА УРОВНЯ ФИНАНСОВОЙ БЕЗОПАСНОСТИ </w:t>
      </w:r>
    </w:p>
    <w:p w:rsidR="003B5A27" w:rsidRPr="003B5A27" w:rsidRDefault="003B5A27" w:rsidP="003B5A27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РЕГИОНАЛЬНОГО РОССИЙСКОГО БАНКА</w:t>
      </w:r>
    </w:p>
    <w:p w:rsidR="003B5A27" w:rsidRPr="003B5A27" w:rsidRDefault="003B5A27" w:rsidP="003B5A27">
      <w:pPr>
        <w:spacing w:after="0" w:line="360" w:lineRule="auto"/>
        <w:rPr>
          <w:rFonts w:ascii="Times New Roman" w:eastAsia="Calibri" w:hAnsi="Times New Roman" w:cs="Times New Roman"/>
          <w:sz w:val="24"/>
        </w:rPr>
      </w:pP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i/>
          <w:sz w:val="24"/>
          <w:u w:val="single"/>
        </w:rPr>
        <w:t>Аннотация статьи</w:t>
      </w:r>
      <w:r w:rsidRPr="003B5A27">
        <w:rPr>
          <w:rFonts w:ascii="Times New Roman" w:eastAsia="Calibri" w:hAnsi="Times New Roman" w:cs="Times New Roman"/>
          <w:i/>
          <w:sz w:val="24"/>
        </w:rPr>
        <w:t>: Определено понятие «финансовая безопасность коммерческого банка», выявлены основные банковские риски, на примере регионального российского банка рассмотрена система управления рисками и предложены методы по совершенствованию системы оценки уровня финансовой безопасности банка.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i/>
          <w:sz w:val="24"/>
          <w:u w:val="single"/>
        </w:rPr>
        <w:t>Ключевые слова</w:t>
      </w:r>
      <w:r w:rsidRPr="003B5A27">
        <w:rPr>
          <w:rFonts w:ascii="Times New Roman" w:eastAsia="Calibri" w:hAnsi="Times New Roman" w:cs="Times New Roman"/>
          <w:i/>
          <w:sz w:val="24"/>
        </w:rPr>
        <w:t>: финансовая безопасность, финансовая устойчивость, коммерческий банк, кредитный риск, ликвидность, операционный риск, процентный риск.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В настоящее время, в учебной и научной литературе уделяется внимание такому понятию, как финансовая безопасность кредитной организации. Финансовая безопасность банка – это защита финансовых интересов банка, его финансовой устойчивости и среды, в которой он функционирует. Основной целью оценки уровня финансовой безопасности банка является отражение угроз, влияющих на финансовую устойчивость банка. То есть банку необходимо обезопасить свои ресурсы и свою деятельность от возможных потерь. Поэтому в понятие финансовой безопасности банка логично заменять понятие «угроза» на понятие «банковский риск».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Государство в лице Центрального Банка жестко регулирует деятельность коммерческих банков, так как банк привлекает и размещает средства населения. Центральным Банком разработана четкая методика определения финансовой устойчивости банка. Ряд обязательных нормативов и показателей, которые банк вынужден соблюдать определяют лишь состояние банка для внешних пользователей. Для целей внутренней оценки финансовой безопасности банка необходимо выявить те угрозы и риски, которые в первую очередь могут повлиять на снижение или неполучение прибыли банком.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Центральный Банк в своем письме от 23 июня 2004 г. N 70-Т «О типичных банковских рисках» выделил следующие виды рисков банковской деятельности:</w:t>
      </w:r>
    </w:p>
    <w:p w:rsidR="003B5A27" w:rsidRPr="003B5A27" w:rsidRDefault="003B5A27" w:rsidP="003B5A27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кредитный риск;</w:t>
      </w:r>
    </w:p>
    <w:p w:rsidR="003B5A27" w:rsidRPr="003B5A27" w:rsidRDefault="003B5A27" w:rsidP="003B5A27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рыночный риск, включающий фондовый, валютный процентный риски;</w:t>
      </w:r>
    </w:p>
    <w:p w:rsidR="003B5A27" w:rsidRPr="003B5A27" w:rsidRDefault="003B5A27" w:rsidP="003B5A27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риск ликвидности;</w:t>
      </w:r>
    </w:p>
    <w:p w:rsidR="003B5A27" w:rsidRPr="003B5A27" w:rsidRDefault="003B5A27" w:rsidP="003B5A27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операционный риск;</w:t>
      </w:r>
    </w:p>
    <w:p w:rsidR="003B5A27" w:rsidRPr="003B5A27" w:rsidRDefault="003B5A27" w:rsidP="003B5A27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lastRenderedPageBreak/>
        <w:t>правовой риск;</w:t>
      </w:r>
    </w:p>
    <w:p w:rsidR="003B5A27" w:rsidRPr="003B5A27" w:rsidRDefault="003B5A27" w:rsidP="003B5A27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риск потери деловой репутации;</w:t>
      </w:r>
    </w:p>
    <w:p w:rsidR="003B5A27" w:rsidRPr="003B5A27" w:rsidRDefault="003B5A27" w:rsidP="003B5A27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стратегический риск.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Контроль за функционированием системы управления банковскими рисками и оценка банковских рисков включены в систему внутреннего контроля банка. Банком России на основе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4"/>
        </w:rPr>
        <w:t>Базельских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 рекомендаций разработаны рекомендации Центрального Банка о порядке определения размера кредитного и операционного риска. В связи с финансовым кризисом 2008-2009 гг.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4"/>
        </w:rPr>
        <w:t>Базельский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 комитет по банковскому надзору принял систему требований достаточности капитала и ликвидности, получившую название Базель III. В первую очередь это связано с тем, что традиционные требования (Базель </w:t>
      </w:r>
      <w:r w:rsidRPr="003B5A27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), недостаточно проявили себя во время кризиса и некоторые банки потерпели крах. Поэтому, возникла необходимость расширения требований к собственному капиталу с целью улучшения финансовой устойчивости банков. В России международная практика вводится Центральным Банком постепенно, и в первую очередь коснулась крупных банков. В течение времени вводится новый норматив краткосрочной ликвидности, чистого стабильного фондирования, раскрытие показателя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4"/>
        </w:rPr>
        <w:t>левериджа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. Таким образом, Базель </w:t>
      </w:r>
      <w:r w:rsidRPr="003B5A27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 в отличие от Базеля </w:t>
      </w:r>
      <w:r w:rsidRPr="003B5A27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 ввел более чувствительную систему оценки рисков активов</w:t>
      </w:r>
      <w:r w:rsidRPr="003B5A27">
        <w:rPr>
          <w:rFonts w:ascii="Calibri" w:eastAsia="Calibri" w:hAnsi="Calibri" w:cs="Times New Roman"/>
          <w:sz w:val="24"/>
          <w:szCs w:val="24"/>
        </w:rPr>
        <w:t xml:space="preserve"> </w:t>
      </w:r>
      <w:r w:rsidRPr="003B5A27">
        <w:rPr>
          <w:rFonts w:ascii="Times New Roman" w:eastAsia="Calibri" w:hAnsi="Times New Roman" w:cs="Times New Roman"/>
          <w:sz w:val="24"/>
          <w:szCs w:val="24"/>
        </w:rPr>
        <w:t>для</w:t>
      </w:r>
      <w:r w:rsidRPr="003B5A27">
        <w:rPr>
          <w:rFonts w:ascii="Calibri" w:eastAsia="Calibri" w:hAnsi="Calibri" w:cs="Times New Roman"/>
          <w:sz w:val="24"/>
          <w:szCs w:val="24"/>
        </w:rPr>
        <w:t xml:space="preserve"> </w:t>
      </w:r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вычислении коэффициентов достаточности капитала, а Базель III дополнил эту систему буферным и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4"/>
        </w:rPr>
        <w:t>контрциклическим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 капиталом, который реагирует на состояние экономики в определенный момент и в зависимости от этого уже принимает значение.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Таким образом, фактически банку необходимо самостоятельно разработать систему управления рисками. 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A27">
        <w:rPr>
          <w:rFonts w:ascii="Times New Roman" w:eastAsia="Calibri" w:hAnsi="Times New Roman" w:cs="Times New Roman"/>
          <w:sz w:val="24"/>
          <w:szCs w:val="24"/>
        </w:rPr>
        <w:t>Объектом нашего исследования является российский региональный банк – ООО «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4"/>
        </w:rPr>
        <w:t>Кетовский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 коммерческий банк» Курганской области. 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В ООО КБ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4"/>
        </w:rPr>
        <w:t>Кетовский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 система управления рисками представлена в виде Политики управления рисками и капиталом Группы ООО КБ «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4"/>
        </w:rPr>
        <w:t>Кетовский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». 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Данная политика определяет основные цели и задачи управления рисками, методику управления значимыми рисками. Система управления рисками основывается на стандартах и инструментах, рекомендуемых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4"/>
        </w:rPr>
        <w:t>Базельским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 комитетом по банковскому надзору.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Основные функции управления и контроля над рисками возложены на управление по рискам, стратегическому планированию и отчетности и руководителей структурных подразделений банка. 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Calibri" w:eastAsia="Calibri" w:hAnsi="Calibri" w:cs="Times New Roman"/>
        </w:rPr>
      </w:pPr>
      <w:r w:rsidRPr="003B5A27">
        <w:rPr>
          <w:rFonts w:ascii="Times New Roman" w:eastAsia="Calibri" w:hAnsi="Times New Roman" w:cs="Times New Roman"/>
          <w:sz w:val="24"/>
        </w:rPr>
        <w:t xml:space="preserve">Одним из основных видов деятельности банков является кредитование, поэтому кредитный риск необходимо анализировать в первую очередь. Согласно политике </w:t>
      </w:r>
      <w:r w:rsidRPr="003B5A27">
        <w:rPr>
          <w:rFonts w:ascii="Times New Roman" w:eastAsia="Calibri" w:hAnsi="Times New Roman" w:cs="Times New Roman"/>
          <w:sz w:val="24"/>
        </w:rPr>
        <w:lastRenderedPageBreak/>
        <w:t>управления рисками и капиталом Группы ООО КБ «</w:t>
      </w:r>
      <w:proofErr w:type="spellStart"/>
      <w:r w:rsidRPr="003B5A27">
        <w:rPr>
          <w:rFonts w:ascii="Times New Roman" w:eastAsia="Calibri" w:hAnsi="Times New Roman" w:cs="Times New Roman"/>
          <w:sz w:val="24"/>
        </w:rPr>
        <w:t>Кетовский</w:t>
      </w:r>
      <w:proofErr w:type="spellEnd"/>
      <w:r w:rsidRPr="003B5A27">
        <w:rPr>
          <w:rFonts w:ascii="Times New Roman" w:eastAsia="Calibri" w:hAnsi="Times New Roman" w:cs="Times New Roman"/>
          <w:sz w:val="24"/>
        </w:rPr>
        <w:t>» количественная оценка кредитного риска производится в рамках ежедневного расчета</w:t>
      </w:r>
      <w:r w:rsidRPr="003B5A27">
        <w:rPr>
          <w:rFonts w:ascii="Calibri" w:eastAsia="Calibri" w:hAnsi="Calibri" w:cs="Times New Roman"/>
        </w:rPr>
        <w:t xml:space="preserve"> </w:t>
      </w:r>
      <w:r w:rsidRPr="003B5A27">
        <w:rPr>
          <w:rFonts w:ascii="Times New Roman" w:eastAsia="Calibri" w:hAnsi="Times New Roman" w:cs="Times New Roman"/>
          <w:sz w:val="24"/>
        </w:rPr>
        <w:t>норматива достаточности капитала Н1.0.</w:t>
      </w:r>
      <w:r w:rsidRPr="003B5A27">
        <w:rPr>
          <w:rFonts w:ascii="Calibri" w:eastAsia="Calibri" w:hAnsi="Calibri" w:cs="Times New Roman"/>
        </w:rPr>
        <w:t xml:space="preserve"> </w:t>
      </w:r>
      <w:r w:rsidRPr="003B5A27">
        <w:rPr>
          <w:rFonts w:ascii="Times New Roman" w:eastAsia="Calibri" w:hAnsi="Times New Roman" w:cs="Times New Roman"/>
          <w:sz w:val="24"/>
        </w:rPr>
        <w:t>Контроль за уровнем кредитного риска основывается на установлении лимитов. С целью оценки качества кредитного портфеля с позиции его рискованности, доходности и ликвидности, мы рекомендуем ввести дополнительные финансовые коэффициенты (таблица 1): коэффициент кредитной деятельности (К</w:t>
      </w:r>
      <w:r w:rsidRPr="003B5A27">
        <w:rPr>
          <w:rFonts w:ascii="Times New Roman" w:eastAsia="Calibri" w:hAnsi="Times New Roman" w:cs="Times New Roman"/>
          <w:sz w:val="24"/>
          <w:vertAlign w:val="subscript"/>
        </w:rPr>
        <w:t>1</w:t>
      </w:r>
      <w:r w:rsidRPr="003B5A27">
        <w:rPr>
          <w:rFonts w:ascii="Times New Roman" w:eastAsia="Calibri" w:hAnsi="Times New Roman" w:cs="Times New Roman"/>
          <w:sz w:val="24"/>
        </w:rPr>
        <w:t>), коэффициент инвестиционной деятельности (К</w:t>
      </w:r>
      <w:r w:rsidRPr="003B5A27">
        <w:rPr>
          <w:rFonts w:ascii="Times New Roman" w:eastAsia="Calibri" w:hAnsi="Times New Roman" w:cs="Times New Roman"/>
          <w:sz w:val="24"/>
          <w:vertAlign w:val="subscript"/>
        </w:rPr>
        <w:t>2</w:t>
      </w:r>
      <w:r w:rsidRPr="003B5A27">
        <w:rPr>
          <w:rFonts w:ascii="Times New Roman" w:eastAsia="Calibri" w:hAnsi="Times New Roman" w:cs="Times New Roman"/>
          <w:sz w:val="24"/>
        </w:rPr>
        <w:t>), коэффициент резерва (К</w:t>
      </w:r>
      <w:r w:rsidRPr="003B5A27">
        <w:rPr>
          <w:rFonts w:ascii="Times New Roman" w:eastAsia="Calibri" w:hAnsi="Times New Roman" w:cs="Times New Roman"/>
          <w:sz w:val="24"/>
          <w:vertAlign w:val="subscript"/>
        </w:rPr>
        <w:t>3</w:t>
      </w:r>
      <w:r w:rsidRPr="003B5A27">
        <w:rPr>
          <w:rFonts w:ascii="Times New Roman" w:eastAsia="Calibri" w:hAnsi="Times New Roman" w:cs="Times New Roman"/>
          <w:sz w:val="24"/>
        </w:rPr>
        <w:t>),  коэффициент доходности (отношение разницы между процентами полученными и уплаченными к общей сумме ссудной задолженности) (К</w:t>
      </w:r>
      <w:r w:rsidRPr="003B5A27">
        <w:rPr>
          <w:rFonts w:ascii="Times New Roman" w:eastAsia="Calibri" w:hAnsi="Times New Roman" w:cs="Times New Roman"/>
          <w:sz w:val="24"/>
          <w:vertAlign w:val="subscript"/>
        </w:rPr>
        <w:t>4</w:t>
      </w:r>
      <w:r w:rsidRPr="003B5A27">
        <w:rPr>
          <w:rFonts w:ascii="Times New Roman" w:eastAsia="Calibri" w:hAnsi="Times New Roman" w:cs="Times New Roman"/>
          <w:sz w:val="24"/>
        </w:rPr>
        <w:t>), коэффициент кредитной активности использования привлеченных средств (К</w:t>
      </w:r>
      <w:r w:rsidRPr="003B5A27">
        <w:rPr>
          <w:rFonts w:ascii="Times New Roman" w:eastAsia="Calibri" w:hAnsi="Times New Roman" w:cs="Times New Roman"/>
          <w:sz w:val="24"/>
          <w:vertAlign w:val="subscript"/>
        </w:rPr>
        <w:t>5</w:t>
      </w:r>
      <w:r w:rsidRPr="003B5A27">
        <w:rPr>
          <w:rFonts w:ascii="Times New Roman" w:eastAsia="Calibri" w:hAnsi="Times New Roman" w:cs="Times New Roman"/>
          <w:sz w:val="24"/>
        </w:rPr>
        <w:t>).</w:t>
      </w:r>
      <w:r w:rsidRPr="003B5A27">
        <w:rPr>
          <w:rFonts w:ascii="Calibri" w:eastAsia="Calibri" w:hAnsi="Calibri" w:cs="Times New Roman"/>
        </w:rPr>
        <w:t xml:space="preserve"> 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Calibri" w:eastAsia="Calibri" w:hAnsi="Calibri" w:cs="Times New Roman"/>
        </w:rPr>
      </w:pPr>
    </w:p>
    <w:p w:rsidR="003B5A27" w:rsidRPr="003B5A27" w:rsidRDefault="003B5A27" w:rsidP="003B5A27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8"/>
        </w:rPr>
      </w:pPr>
      <w:r w:rsidRPr="003B5A27">
        <w:rPr>
          <w:rFonts w:ascii="Times New Roman" w:eastAsia="Calibri" w:hAnsi="Times New Roman" w:cs="Times New Roman"/>
          <w:sz w:val="24"/>
          <w:szCs w:val="28"/>
        </w:rPr>
        <w:t xml:space="preserve">Таблица 1 – Предлагаемые показатели для оценки кредитного риска банка </w:t>
      </w:r>
    </w:p>
    <w:tbl>
      <w:tblPr>
        <w:tblStyle w:val="a3"/>
        <w:tblW w:w="985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960"/>
        <w:gridCol w:w="2403"/>
        <w:gridCol w:w="1035"/>
        <w:gridCol w:w="1035"/>
        <w:gridCol w:w="982"/>
        <w:gridCol w:w="982"/>
        <w:gridCol w:w="997"/>
        <w:gridCol w:w="1461"/>
      </w:tblGrid>
      <w:tr w:rsidR="003B5A27" w:rsidRPr="003B5A27" w:rsidTr="003B5A27">
        <w:trPr>
          <w:trHeight w:val="26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Коэффициент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Рекомендуемое значение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2011 г.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2012 г.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2013 г.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2014 г.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2015 г.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Отклонение 2015 г. от 2011 г.</w:t>
            </w:r>
          </w:p>
        </w:tc>
      </w:tr>
      <w:tr w:rsidR="003B5A27" w:rsidRPr="003B5A27" w:rsidTr="003B5A27">
        <w:trPr>
          <w:trHeight w:val="30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К</w:t>
            </w:r>
            <w:r w:rsidRPr="003B5A27">
              <w:rPr>
                <w:rFonts w:ascii="Arial" w:hAnsi="Arial" w:cs="Arial"/>
                <w:sz w:val="18"/>
                <w:szCs w:val="18"/>
                <w:vertAlign w:val="subscript"/>
              </w:rPr>
              <w:t>1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0,39 -0,51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0,75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0,75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0,68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0,68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0,73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-0,02</w:t>
            </w:r>
          </w:p>
        </w:tc>
      </w:tr>
      <w:tr w:rsidR="003B5A27" w:rsidRPr="003B5A27" w:rsidTr="003B5A27">
        <w:trPr>
          <w:trHeight w:val="14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К</w:t>
            </w:r>
            <w:r w:rsidRPr="003B5A27">
              <w:rPr>
                <w:rFonts w:ascii="Arial" w:hAnsi="Arial" w:cs="Arial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&lt;0,12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0,01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</w:tr>
      <w:tr w:rsidR="003B5A27" w:rsidRPr="003B5A27" w:rsidTr="003B5A27">
        <w:trPr>
          <w:trHeight w:val="5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К</w:t>
            </w:r>
            <w:r w:rsidRPr="003B5A27">
              <w:rPr>
                <w:rFonts w:ascii="Arial" w:hAnsi="Arial" w:cs="Arial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&lt;0,15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0,24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0,24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0,23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0,29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0,30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0,06</w:t>
            </w:r>
          </w:p>
        </w:tc>
      </w:tr>
      <w:tr w:rsidR="003B5A27" w:rsidRPr="003B5A27" w:rsidTr="003B5A27">
        <w:trPr>
          <w:trHeight w:val="13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К</w:t>
            </w:r>
            <w:r w:rsidRPr="003B5A27">
              <w:rPr>
                <w:rFonts w:ascii="Arial" w:hAnsi="Arial" w:cs="Arial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0,16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0,16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0,13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  <w:r w:rsidRPr="003B5A27">
              <w:rPr>
                <w:rFonts w:ascii="Arial" w:hAnsi="Arial" w:cs="Arial"/>
                <w:sz w:val="18"/>
                <w:szCs w:val="18"/>
              </w:rPr>
              <w:t>,13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B5A27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  <w:r w:rsidRPr="003B5A27">
              <w:rPr>
                <w:rFonts w:ascii="Arial" w:hAnsi="Arial" w:cs="Arial"/>
                <w:sz w:val="18"/>
                <w:szCs w:val="18"/>
              </w:rPr>
              <w:t>,</w:t>
            </w:r>
            <w:r w:rsidRPr="003B5A27">
              <w:rPr>
                <w:rFonts w:ascii="Arial" w:hAnsi="Arial" w:cs="Arial"/>
                <w:sz w:val="18"/>
                <w:szCs w:val="18"/>
                <w:lang w:val="en-US"/>
              </w:rPr>
              <w:t>13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-0,03</w:t>
            </w:r>
          </w:p>
        </w:tc>
      </w:tr>
      <w:tr w:rsidR="003B5A27" w:rsidRPr="003B5A27" w:rsidTr="003B5A27">
        <w:trPr>
          <w:trHeight w:val="13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К</w:t>
            </w:r>
            <w:r w:rsidRPr="003B5A27">
              <w:rPr>
                <w:rFonts w:ascii="Arial" w:hAnsi="Arial" w:cs="Arial"/>
                <w:sz w:val="18"/>
                <w:szCs w:val="18"/>
                <w:vertAlign w:val="subscript"/>
              </w:rPr>
              <w:t>5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3B5A27">
              <w:rPr>
                <w:rFonts w:ascii="Arial" w:hAnsi="Arial" w:cs="Arial"/>
                <w:sz w:val="18"/>
                <w:szCs w:val="18"/>
                <w:lang w:val="en-US"/>
              </w:rPr>
              <w:t>&lt;</w:t>
            </w:r>
            <w:r w:rsidRPr="003B5A2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0,70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0,72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0,66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0,67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0,86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5A27">
              <w:rPr>
                <w:rFonts w:ascii="Arial" w:hAnsi="Arial" w:cs="Arial"/>
                <w:sz w:val="18"/>
                <w:szCs w:val="18"/>
              </w:rPr>
              <w:t>0,16</w:t>
            </w:r>
          </w:p>
        </w:tc>
      </w:tr>
    </w:tbl>
    <w:p w:rsidR="003B5A27" w:rsidRPr="003B5A27" w:rsidRDefault="003B5A27" w:rsidP="003B5A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Примечание: Составлено автором на основе внутренней документации ООО КБ «</w:t>
      </w:r>
      <w:proofErr w:type="spellStart"/>
      <w:r w:rsidRPr="003B5A27">
        <w:rPr>
          <w:rFonts w:ascii="Times New Roman" w:eastAsia="Calibri" w:hAnsi="Times New Roman" w:cs="Times New Roman"/>
          <w:sz w:val="24"/>
        </w:rPr>
        <w:t>Кетовский</w:t>
      </w:r>
      <w:proofErr w:type="spellEnd"/>
      <w:r w:rsidRPr="003B5A27">
        <w:rPr>
          <w:rFonts w:ascii="Times New Roman" w:eastAsia="Calibri" w:hAnsi="Times New Roman" w:cs="Times New Roman"/>
          <w:sz w:val="24"/>
        </w:rPr>
        <w:t xml:space="preserve">» 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Calibri" w:eastAsia="Calibri" w:hAnsi="Calibri" w:cs="Times New Roman"/>
        </w:rPr>
      </w:pPr>
    </w:p>
    <w:p w:rsidR="003B5A27" w:rsidRPr="003B5A27" w:rsidRDefault="003B5A27" w:rsidP="003B5A27">
      <w:pPr>
        <w:tabs>
          <w:tab w:val="left" w:pos="1724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 xml:space="preserve">По результатам расчета данных показателей в динамике, мы наблюдаем, что кредитная активность банка достаточно высокая и превышает рекомендуемые значения. Это говорит о высокой специализации банка в области кредитования. Необходимо особое внимание уделить активам банка с целью обеспечения их ликвидности. Инвестиционная активность банка только начинает проявляться. Происходит диверсификация деятельности банка. Инвестиционная политика слаба развита, в связи с чем отсутствует фондовый риск. Коэффициент резерва анализируется динамике. Наблюдается увеличение размера резерва в течение анализируемого периода. Что в первую очередь связано с увеличением размера выдаваемых ссуд, а значит с увеличением кредитного риска. На основании коэффициента доходности кредитного портфеля можно судить о реальной доходности активов. В переделах 13-16% банк получат доход от предоставленных ссуд. Сигналом является снижения данного показателя. Поэтому важно проводить тщательную оценку заемщиков с целью повышения данного показателя, а следовательно доходности кредитного портфеля. Так как уже было вывялено, что кредитная деятельность является основной деятельностью банка. Коэффициент </w:t>
      </w:r>
      <w:r w:rsidRPr="003B5A27">
        <w:rPr>
          <w:rFonts w:ascii="Times New Roman" w:eastAsia="Calibri" w:hAnsi="Times New Roman" w:cs="Times New Roman"/>
          <w:sz w:val="24"/>
          <w:szCs w:val="28"/>
        </w:rPr>
        <w:t xml:space="preserve">кредитной активности использования привлеченных средств характеризует направленность кредитной политики банка. Данный </w:t>
      </w:r>
      <w:r w:rsidRPr="003B5A27">
        <w:rPr>
          <w:rFonts w:ascii="Times New Roman" w:eastAsia="Calibri" w:hAnsi="Times New Roman" w:cs="Times New Roman"/>
          <w:sz w:val="24"/>
          <w:szCs w:val="28"/>
        </w:rPr>
        <w:lastRenderedPageBreak/>
        <w:t>показатель должен стремиться к единице. То есть активы должны работать, привлекаемые средства банком должны быть направлены на выдачу новых ссуд с целью получения прибыли. Однако, чем выше данный коэффициент, тем больше агрессивность кредитной политики банка.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Предложенную систему коэффициентов возможно преобразовать в систему лимитов и дополнить в уже существующие формы отчетности. Однако анализ необходимо проводить в динамике, возможно, сравнение показателей с другими банками, использующими подобную методику оценки кредитного риска.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Довольно значимым риском в банковской деятельности является риск потери ликвидности. Оценка риска ликвидности в ООО КБ «</w:t>
      </w:r>
      <w:proofErr w:type="spellStart"/>
      <w:r w:rsidRPr="003B5A27">
        <w:rPr>
          <w:rFonts w:ascii="Times New Roman" w:eastAsia="Calibri" w:hAnsi="Times New Roman" w:cs="Times New Roman"/>
          <w:sz w:val="24"/>
        </w:rPr>
        <w:t>Кетовский</w:t>
      </w:r>
      <w:proofErr w:type="spellEnd"/>
      <w:r w:rsidRPr="003B5A27">
        <w:rPr>
          <w:rFonts w:ascii="Times New Roman" w:eastAsia="Calibri" w:hAnsi="Times New Roman" w:cs="Times New Roman"/>
          <w:sz w:val="24"/>
        </w:rPr>
        <w:t>» осуществляется отделом экономического анализа ежедневно в процессе расчета фактических значений нормативов ликвидности Н2, Н3, Н4, осуществляемого  в соответствии с требованиями Инструкции Банка России № 139-И. В качестве дополнительных мер оценки риска ликвидности мы предлагаем использовать коэффициенты, включающие в себя неиспользованный потенциал привлечения денежных средств и прогнозируемый отток банковских ресурсов (таблица 2), предложенные профессором О. И. Лаврушиным. Эти величины банк определяет исходя из прогноза движения средств по счетам клиентов с учетом статистических данных за предшествующий год, договорных обязательств.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</w:p>
    <w:p w:rsidR="003B5A27" w:rsidRPr="003B5A27" w:rsidRDefault="003B5A27" w:rsidP="003B5A27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B5A27">
        <w:rPr>
          <w:rFonts w:ascii="Times New Roman" w:eastAsia="Calibri" w:hAnsi="Times New Roman" w:cs="Times New Roman"/>
          <w:sz w:val="24"/>
          <w:szCs w:val="24"/>
        </w:rPr>
        <w:t xml:space="preserve">Таблица 2 – Предлагаемые коэффициенты для оценки риска ликвидности </w:t>
      </w:r>
    </w:p>
    <w:tbl>
      <w:tblPr>
        <w:tblStyle w:val="a3"/>
        <w:tblW w:w="9360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958"/>
        <w:gridCol w:w="1398"/>
        <w:gridCol w:w="1415"/>
        <w:gridCol w:w="1296"/>
        <w:gridCol w:w="1416"/>
        <w:gridCol w:w="1416"/>
        <w:gridCol w:w="1461"/>
      </w:tblGrid>
      <w:tr w:rsidR="003B5A27" w:rsidRPr="003B5A27" w:rsidTr="003B5A27">
        <w:trPr>
          <w:trHeight w:val="26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Коэффициент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  <w:lang w:val="en-US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01.</w:t>
            </w:r>
            <w:r w:rsidRPr="003B5A27">
              <w:rPr>
                <w:rFonts w:ascii="Arial" w:hAnsi="Arial" w:cs="Arial"/>
                <w:sz w:val="18"/>
                <w:szCs w:val="24"/>
                <w:lang w:val="en-US"/>
              </w:rPr>
              <w:t>01.2015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  <w:lang w:val="en-US"/>
              </w:rPr>
            </w:pPr>
            <w:r w:rsidRPr="003B5A27">
              <w:rPr>
                <w:rFonts w:ascii="Arial" w:hAnsi="Arial" w:cs="Arial"/>
                <w:sz w:val="18"/>
                <w:szCs w:val="24"/>
                <w:lang w:val="en-US"/>
              </w:rPr>
              <w:t>01.02.2015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  <w:lang w:val="en-US"/>
              </w:rPr>
              <w:t>01.03.201</w:t>
            </w:r>
            <w:r w:rsidRPr="003B5A27">
              <w:rPr>
                <w:rFonts w:ascii="Arial" w:hAnsi="Arial" w:cs="Arial"/>
                <w:sz w:val="18"/>
                <w:szCs w:val="24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  <w:lang w:val="en-US"/>
              </w:rPr>
            </w:pPr>
            <w:r w:rsidRPr="003B5A27">
              <w:rPr>
                <w:rFonts w:ascii="Arial" w:hAnsi="Arial" w:cs="Arial"/>
                <w:sz w:val="18"/>
                <w:szCs w:val="24"/>
                <w:lang w:val="en-US"/>
              </w:rPr>
              <w:t>01.04.2015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  <w:lang w:val="en-US"/>
              </w:rPr>
            </w:pPr>
            <w:r w:rsidRPr="003B5A27">
              <w:rPr>
                <w:rFonts w:ascii="Arial" w:hAnsi="Arial" w:cs="Arial"/>
                <w:sz w:val="18"/>
                <w:szCs w:val="24"/>
                <w:lang w:val="en-US"/>
              </w:rPr>
              <w:t>01.05.2015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  <w:lang w:val="en-US"/>
              </w:rPr>
            </w:pPr>
            <w:r w:rsidRPr="003B5A27">
              <w:rPr>
                <w:rFonts w:ascii="Arial" w:hAnsi="Arial" w:cs="Arial"/>
                <w:sz w:val="18"/>
                <w:szCs w:val="24"/>
                <w:lang w:val="en-US"/>
              </w:rPr>
              <w:t>01.06.2015</w:t>
            </w:r>
          </w:p>
        </w:tc>
      </w:tr>
      <w:tr w:rsidR="003B5A27" w:rsidRPr="003B5A27" w:rsidTr="003B5A27">
        <w:trPr>
          <w:trHeight w:val="305"/>
          <w:jc w:val="center"/>
        </w:trPr>
        <w:tc>
          <w:tcPr>
            <w:tcW w:w="93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Без учета риска потери активов и возможного изменения в объеме привлеченных средств</w:t>
            </w:r>
          </w:p>
        </w:tc>
      </w:tr>
      <w:tr w:rsidR="003B5A27" w:rsidRPr="003B5A27" w:rsidTr="003B5A27">
        <w:trPr>
          <w:trHeight w:val="30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Н2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1,18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12,8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1,45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0,83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0,85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1,04</w:t>
            </w:r>
          </w:p>
        </w:tc>
      </w:tr>
      <w:tr w:rsidR="003B5A27" w:rsidRPr="003B5A27" w:rsidTr="003B5A27">
        <w:trPr>
          <w:trHeight w:val="14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Н3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0,91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1,04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0,80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0,76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0,80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0,82</w:t>
            </w:r>
          </w:p>
        </w:tc>
      </w:tr>
      <w:tr w:rsidR="003B5A27" w:rsidRPr="003B5A27" w:rsidTr="003B5A27">
        <w:trPr>
          <w:trHeight w:val="140"/>
          <w:jc w:val="center"/>
        </w:trPr>
        <w:tc>
          <w:tcPr>
            <w:tcW w:w="93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С учетом риска потери активов и возможного изменения в объеме привлеченных средств</w:t>
            </w:r>
          </w:p>
        </w:tc>
      </w:tr>
      <w:tr w:rsidR="003B5A27" w:rsidRPr="003B5A27" w:rsidTr="003B5A27">
        <w:trPr>
          <w:trHeight w:val="14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Н2.1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  <w:lang w:val="en-US"/>
              </w:rPr>
              <w:t>1</w:t>
            </w:r>
            <w:r w:rsidRPr="003B5A27">
              <w:rPr>
                <w:rFonts w:ascii="Arial" w:hAnsi="Arial" w:cs="Arial"/>
                <w:sz w:val="18"/>
                <w:szCs w:val="24"/>
              </w:rPr>
              <w:t>,61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1,40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0,82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0,68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0,91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1,20</w:t>
            </w:r>
          </w:p>
        </w:tc>
      </w:tr>
      <w:tr w:rsidR="003B5A27" w:rsidRPr="003B5A27" w:rsidTr="003B5A27">
        <w:trPr>
          <w:trHeight w:val="14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Н3.1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1,02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1,15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0,60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0,73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0,93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5A27" w:rsidRPr="003B5A27" w:rsidRDefault="003B5A27" w:rsidP="003B5A27">
            <w:pPr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3B5A27">
              <w:rPr>
                <w:rFonts w:ascii="Arial" w:hAnsi="Arial" w:cs="Arial"/>
                <w:sz w:val="18"/>
                <w:szCs w:val="24"/>
              </w:rPr>
              <w:t>0,83</w:t>
            </w:r>
          </w:p>
        </w:tc>
      </w:tr>
    </w:tbl>
    <w:p w:rsidR="003B5A27" w:rsidRPr="003B5A27" w:rsidRDefault="003B5A27" w:rsidP="003B5A2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Примечание: Составлено автором на основе внутренней документации ООО КБ «</w:t>
      </w:r>
      <w:proofErr w:type="spellStart"/>
      <w:r w:rsidRPr="003B5A27">
        <w:rPr>
          <w:rFonts w:ascii="Times New Roman" w:eastAsia="Calibri" w:hAnsi="Times New Roman" w:cs="Times New Roman"/>
          <w:sz w:val="24"/>
        </w:rPr>
        <w:t>Кетовский</w:t>
      </w:r>
      <w:proofErr w:type="spellEnd"/>
      <w:r w:rsidRPr="003B5A27">
        <w:rPr>
          <w:rFonts w:ascii="Times New Roman" w:eastAsia="Calibri" w:hAnsi="Times New Roman" w:cs="Times New Roman"/>
          <w:sz w:val="24"/>
        </w:rPr>
        <w:t>»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 xml:space="preserve">На основании данных показателей можно судить о реальной ликвидности банка с учетом притока привлеченных ресурсов и оттока активов. Отметим, что значения данных показателей различны с показателями, установленными Банком России. Мы видим, что банк не в каждый месяц способен полностью погасить обязательства до востребования. Нехватка высоколиквидных средств возникает в 4 месяце, особенно с учетом возможных оттоков и притоков активов и обязательств, видно, что банк способен обеспечить только 68% обязательств до востребования. Аналогичная ситуация с погашением обязательств сроком до 30 дней. Скорректированные на возможные притоки-оттоки активов и </w:t>
      </w:r>
      <w:r w:rsidRPr="003B5A27">
        <w:rPr>
          <w:rFonts w:ascii="Times New Roman" w:eastAsia="Calibri" w:hAnsi="Times New Roman" w:cs="Times New Roman"/>
          <w:sz w:val="24"/>
        </w:rPr>
        <w:lastRenderedPageBreak/>
        <w:t>обязательств коэффициенты ликвидности в большинстве месяцев снизились по сравнению нормативами, рассчитанные в соответствии требованиями Банка России.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ООО КБ «</w:t>
      </w:r>
      <w:proofErr w:type="spellStart"/>
      <w:r w:rsidRPr="003B5A27">
        <w:rPr>
          <w:rFonts w:ascii="Times New Roman" w:eastAsia="Calibri" w:hAnsi="Times New Roman" w:cs="Times New Roman"/>
          <w:sz w:val="24"/>
        </w:rPr>
        <w:t>Кетовский</w:t>
      </w:r>
      <w:proofErr w:type="spellEnd"/>
      <w:r w:rsidRPr="003B5A27">
        <w:rPr>
          <w:rFonts w:ascii="Times New Roman" w:eastAsia="Calibri" w:hAnsi="Times New Roman" w:cs="Times New Roman"/>
          <w:sz w:val="24"/>
        </w:rPr>
        <w:t>» не осуществляет операции с долговыми и долевыми ценными бумагами на организованном рынке ценных бумаг, биржевыми товарами, не проводит сделок с производными финансовыми инструментами. В связи с этим управление рыночным риском сводится к процедурам управления (выявление,  оценка, мониторинг, контроль за объемом) исключительно валютного риска.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Контроль за уровнем валютного риска ООО КБ «</w:t>
      </w:r>
      <w:proofErr w:type="spellStart"/>
      <w:r w:rsidRPr="003B5A27">
        <w:rPr>
          <w:rFonts w:ascii="Times New Roman" w:eastAsia="Calibri" w:hAnsi="Times New Roman" w:cs="Times New Roman"/>
          <w:sz w:val="24"/>
        </w:rPr>
        <w:t>Кетовский</w:t>
      </w:r>
      <w:proofErr w:type="spellEnd"/>
      <w:r w:rsidRPr="003B5A27">
        <w:rPr>
          <w:rFonts w:ascii="Times New Roman" w:eastAsia="Calibri" w:hAnsi="Times New Roman" w:cs="Times New Roman"/>
          <w:sz w:val="24"/>
        </w:rPr>
        <w:t>» основывается на установлении лимитов на отдельные показатели деятельности банка по направлению валютных операций, рассчитанные в соответствии с Инструкцией Банка России №124-И:</w:t>
      </w:r>
    </w:p>
    <w:p w:rsidR="003B5A27" w:rsidRPr="003B5A27" w:rsidRDefault="003B5A27" w:rsidP="003B5A27">
      <w:pPr>
        <w:numPr>
          <w:ilvl w:val="0"/>
          <w:numId w:val="2"/>
        </w:numPr>
        <w:spacing w:after="0" w:line="360" w:lineRule="auto"/>
        <w:ind w:left="1134" w:hanging="425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 xml:space="preserve">максимальный процент  всех длинных (коротких) открытых валютных позиций в отдельных иностранных валютах от капитала банка; </w:t>
      </w:r>
    </w:p>
    <w:p w:rsidR="003B5A27" w:rsidRPr="003B5A27" w:rsidRDefault="003B5A27" w:rsidP="003B5A27">
      <w:pPr>
        <w:numPr>
          <w:ilvl w:val="0"/>
          <w:numId w:val="2"/>
        </w:numPr>
        <w:spacing w:after="0" w:line="360" w:lineRule="auto"/>
        <w:ind w:left="1134" w:hanging="425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максимальный процент любой длинной (короткая) ОВП в отдельных иностранных валютах, а также балансирующая позиция от капитала.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В ООО КБ «</w:t>
      </w:r>
      <w:proofErr w:type="spellStart"/>
      <w:r w:rsidRPr="003B5A27">
        <w:rPr>
          <w:rFonts w:ascii="Times New Roman" w:eastAsia="Calibri" w:hAnsi="Times New Roman" w:cs="Times New Roman"/>
          <w:sz w:val="24"/>
        </w:rPr>
        <w:t>Кетовский</w:t>
      </w:r>
      <w:proofErr w:type="spellEnd"/>
      <w:r w:rsidRPr="003B5A27">
        <w:rPr>
          <w:rFonts w:ascii="Times New Roman" w:eastAsia="Calibri" w:hAnsi="Times New Roman" w:cs="Times New Roman"/>
          <w:sz w:val="24"/>
        </w:rPr>
        <w:t>» преобладают длинные валютные позиции по доллару и евро представленные, преимущественно, остатками в кассе и на корреспондентских счетах банка. В рублевом эквиваленте величина открытых валютных позиций не высокая и находится в пределах 8% от собственных средств, при нормативе установленным ЦБ РФ в размере 20%.</w:t>
      </w:r>
      <w:r w:rsidRPr="003B5A27">
        <w:rPr>
          <w:rFonts w:ascii="Calibri" w:eastAsia="Calibri" w:hAnsi="Calibri" w:cs="Times New Roman"/>
        </w:rPr>
        <w:t xml:space="preserve"> </w:t>
      </w:r>
      <w:r w:rsidRPr="003B5A27">
        <w:rPr>
          <w:rFonts w:ascii="Times New Roman" w:eastAsia="Calibri" w:hAnsi="Times New Roman" w:cs="Times New Roman"/>
          <w:sz w:val="24"/>
        </w:rPr>
        <w:t>Таким образом, банк принимает на себя относительно низкий валютный риск, в то числе диверсифицируя позиции по видам валют в относительно равных пропорциях.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Факторы, оказывающие влияние на возникновение операционного, правового риска, риска деловой репутации, схожи. В основе их лежит в большей степени человеческий фактор. Например, квалификация работников, уровень профессиональной этики, качественность выполнения работы, правильность выполнения должностных обязанностей и др. Однако, риск деловой репутации намного шире других рисков и охватывает факторы других типичных рисков банковской деятельности.</w:t>
      </w:r>
      <w:r w:rsidRPr="003B5A27">
        <w:rPr>
          <w:rFonts w:ascii="Calibri" w:eastAsia="Calibri" w:hAnsi="Calibri" w:cs="Times New Roman"/>
        </w:rPr>
        <w:t xml:space="preserve">  </w:t>
      </w:r>
      <w:r w:rsidRPr="003B5A27">
        <w:rPr>
          <w:rFonts w:ascii="Times New Roman" w:eastAsia="Calibri" w:hAnsi="Times New Roman" w:cs="Times New Roman"/>
          <w:sz w:val="24"/>
        </w:rPr>
        <w:t>Количественную оценку данного риска провести практически невозможно, как и корреляцию между возникновением рискового события и его ущербом. Таким образом, анализ данного риска строится на методе экспертных оценок. Таким примером являются рейтинговые агентства, которые составляют рейтинг деловой репутации банков. Основой рейтинга является финансовая устойчивость банка, а деловая репутация тем выше, чем выше рейтинг банка. Доверие со стороны внешних пользователей к такому банку больше. В ООО КБ «</w:t>
      </w:r>
      <w:proofErr w:type="spellStart"/>
      <w:r w:rsidRPr="003B5A27">
        <w:rPr>
          <w:rFonts w:ascii="Times New Roman" w:eastAsia="Calibri" w:hAnsi="Times New Roman" w:cs="Times New Roman"/>
          <w:sz w:val="24"/>
        </w:rPr>
        <w:t>Кетовский</w:t>
      </w:r>
      <w:proofErr w:type="spellEnd"/>
      <w:r w:rsidRPr="003B5A27">
        <w:rPr>
          <w:rFonts w:ascii="Times New Roman" w:eastAsia="Calibri" w:hAnsi="Times New Roman" w:cs="Times New Roman"/>
          <w:sz w:val="24"/>
        </w:rPr>
        <w:t xml:space="preserve">» риск потери деловой репутации оценивается начальником управления по </w:t>
      </w:r>
      <w:r w:rsidRPr="003B5A27">
        <w:rPr>
          <w:rFonts w:ascii="Times New Roman" w:eastAsia="Calibri" w:hAnsi="Times New Roman" w:cs="Times New Roman"/>
          <w:sz w:val="24"/>
        </w:rPr>
        <w:lastRenderedPageBreak/>
        <w:t>рискам стратегическому, планированию и отчетности на основании информации о факторах, свидетельствующих об увеличении риска потери деловой репутации.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  <w:r w:rsidRPr="003B5A27">
        <w:rPr>
          <w:rFonts w:ascii="Times New Roman" w:eastAsia="Calibri" w:hAnsi="Times New Roman" w:cs="Times New Roman"/>
          <w:sz w:val="24"/>
        </w:rPr>
        <w:t>В целом можно сделать вывод, что оценка финансовой безопасности сводится к определению финансовой устойчивости банка и оценке рисков, сопутствующих банковской деятельности. Основным элементом при определении финансовой безопасности банка является четкое выполнение рекомендаций и установок Банка России, внутреннее  нормативное регулирование рисков и квалифицированный персонал, способный выявить риски и разработать стратегию по управлению ими.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</w:p>
    <w:p w:rsidR="003B5A27" w:rsidRPr="003B5A27" w:rsidRDefault="003B5A27" w:rsidP="003B5A27">
      <w:pPr>
        <w:keepNext/>
        <w:keepLines/>
        <w:spacing w:before="200" w:after="0" w:line="360" w:lineRule="auto"/>
        <w:ind w:left="709" w:hanging="709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8"/>
        </w:rPr>
      </w:pPr>
      <w:bookmarkStart w:id="0" w:name="_Toc481341656"/>
      <w:r w:rsidRPr="003B5A27">
        <w:rPr>
          <w:rFonts w:ascii="Times New Roman" w:eastAsia="Times New Roman" w:hAnsi="Times New Roman" w:cs="Times New Roman"/>
          <w:bCs/>
          <w:sz w:val="24"/>
          <w:szCs w:val="28"/>
        </w:rPr>
        <w:t>Список использованной литературы</w:t>
      </w:r>
      <w:bookmarkEnd w:id="0"/>
    </w:p>
    <w:p w:rsidR="003B5A27" w:rsidRPr="003B5A27" w:rsidRDefault="003B5A27" w:rsidP="003B5A27">
      <w:pPr>
        <w:spacing w:after="0" w:line="360" w:lineRule="auto"/>
        <w:ind w:left="709" w:hanging="709"/>
        <w:jc w:val="center"/>
        <w:rPr>
          <w:rFonts w:ascii="Times New Roman" w:eastAsia="Calibri" w:hAnsi="Times New Roman" w:cs="Times New Roman"/>
          <w:sz w:val="24"/>
          <w:szCs w:val="28"/>
        </w:rPr>
      </w:pP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3B5A27">
        <w:rPr>
          <w:rFonts w:ascii="Times New Roman" w:eastAsia="Calibri" w:hAnsi="Times New Roman" w:cs="Times New Roman"/>
          <w:sz w:val="24"/>
          <w:szCs w:val="28"/>
        </w:rPr>
        <w:t xml:space="preserve">Лаврушин О.И.,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8"/>
        </w:rPr>
        <w:t>Валенцева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8"/>
        </w:rPr>
        <w:t xml:space="preserve"> Н.И. Банковские риски: учебник - М.: КНОРУС, 2016. – 292 с.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3B5A27">
        <w:rPr>
          <w:rFonts w:ascii="Times New Roman" w:eastAsia="Calibri" w:hAnsi="Times New Roman" w:cs="Times New Roman"/>
          <w:sz w:val="24"/>
          <w:szCs w:val="28"/>
        </w:rPr>
        <w:t xml:space="preserve">Ларионова И.В. Управление активами и пассивами в коммерческом банке. – М.: Издательство АО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8"/>
        </w:rPr>
        <w:t>Консалтбанкир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8"/>
        </w:rPr>
        <w:t>, 2002. – 272 с.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3B5A27">
        <w:rPr>
          <w:rFonts w:ascii="Times New Roman" w:eastAsia="Calibri" w:hAnsi="Times New Roman" w:cs="Times New Roman"/>
          <w:sz w:val="24"/>
          <w:szCs w:val="28"/>
        </w:rPr>
        <w:t xml:space="preserve">О банках и банковской деятельности [Текст]: Федеральный закон от 02.12.1990 N 395-1 "О банках и банковской деятельности" // СПС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8"/>
        </w:rPr>
        <w:t>КонсультантПлюс</w:t>
      </w:r>
      <w:proofErr w:type="spellEnd"/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3B5A27">
        <w:rPr>
          <w:rFonts w:ascii="Times New Roman" w:eastAsia="Calibri" w:hAnsi="Times New Roman" w:cs="Times New Roman"/>
          <w:sz w:val="24"/>
          <w:szCs w:val="28"/>
        </w:rPr>
        <w:t xml:space="preserve">О методике определения величины собственных средств (капитала) кредитных организаций ("Базель III") [Текст]: Положение Банка России от 28.12.2012 N 395-П «О методике определения величины собственных средств (капитала) кредитных организаций ("Базель III")» // СПС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8"/>
        </w:rPr>
        <w:t>КонсультантПлюс</w:t>
      </w:r>
      <w:proofErr w:type="spellEnd"/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3B5A27">
        <w:rPr>
          <w:rFonts w:ascii="Times New Roman" w:eastAsia="Calibri" w:hAnsi="Times New Roman" w:cs="Times New Roman"/>
          <w:sz w:val="24"/>
          <w:szCs w:val="28"/>
        </w:rPr>
        <w:t xml:space="preserve">О типичных банковских рисках [Текст]: Письмо Банка России от 23 июня 2004 г. N 70-Т «О типичных банковских рисках» // СПС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8"/>
        </w:rPr>
        <w:t>КонсультантПлюс</w:t>
      </w:r>
      <w:proofErr w:type="spellEnd"/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3B5A27">
        <w:rPr>
          <w:rFonts w:ascii="Times New Roman" w:eastAsia="Calibri" w:hAnsi="Times New Roman" w:cs="Times New Roman"/>
          <w:sz w:val="24"/>
          <w:szCs w:val="28"/>
        </w:rPr>
        <w:t xml:space="preserve">О требованиях к системе управления рисками и капиталом кредитной организации и банковской группы [Текст]: Указание Банка России от 15.04.2015 N 3624-У "О требованиях к системе управления рисками и капиталом кредитной организации и банковской группы" // СПС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8"/>
        </w:rPr>
        <w:t>КонсультантПлюс</w:t>
      </w:r>
      <w:proofErr w:type="spellEnd"/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  <w:lang w:val="en-US"/>
        </w:rPr>
      </w:pPr>
      <w:r w:rsidRPr="003B5A27">
        <w:rPr>
          <w:rFonts w:ascii="Times New Roman" w:eastAsia="Calibri" w:hAnsi="Times New Roman" w:cs="Times New Roman"/>
          <w:sz w:val="24"/>
          <w:szCs w:val="28"/>
        </w:rPr>
        <w:t xml:space="preserve">Хенни Ван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8"/>
        </w:rPr>
        <w:t>Грюнинг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8"/>
        </w:rPr>
        <w:t xml:space="preserve">, Соня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8"/>
        </w:rPr>
        <w:t>Брайович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8"/>
        </w:rPr>
        <w:t xml:space="preserve">,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8"/>
        </w:rPr>
        <w:t>Братанович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8"/>
        </w:rPr>
        <w:t>. Анализ банковских рисков. Система корпоративного управления финансовым риском / Пер. с англ. К</w:t>
      </w:r>
      <w:r w:rsidRPr="003B5A27">
        <w:rPr>
          <w:rFonts w:ascii="Times New Roman" w:eastAsia="Calibri" w:hAnsi="Times New Roman" w:cs="Times New Roman"/>
          <w:sz w:val="24"/>
          <w:szCs w:val="28"/>
          <w:lang w:val="en-US"/>
        </w:rPr>
        <w:t>.</w:t>
      </w:r>
      <w:r w:rsidRPr="003B5A27">
        <w:rPr>
          <w:rFonts w:ascii="Times New Roman" w:eastAsia="Calibri" w:hAnsi="Times New Roman" w:cs="Times New Roman"/>
          <w:sz w:val="24"/>
          <w:szCs w:val="28"/>
        </w:rPr>
        <w:t>Р</w:t>
      </w:r>
      <w:r w:rsidRPr="003B5A27">
        <w:rPr>
          <w:rFonts w:ascii="Times New Roman" w:eastAsia="Calibri" w:hAnsi="Times New Roman" w:cs="Times New Roman"/>
          <w:sz w:val="24"/>
          <w:szCs w:val="28"/>
          <w:lang w:val="en-US"/>
        </w:rPr>
        <w:t xml:space="preserve">.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8"/>
        </w:rPr>
        <w:t>Тагирбекова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8"/>
          <w:lang w:val="en-US"/>
        </w:rPr>
        <w:t xml:space="preserve">, - </w:t>
      </w:r>
      <w:r w:rsidRPr="003B5A27">
        <w:rPr>
          <w:rFonts w:ascii="Times New Roman" w:eastAsia="Calibri" w:hAnsi="Times New Roman" w:cs="Times New Roman"/>
          <w:sz w:val="24"/>
          <w:szCs w:val="28"/>
        </w:rPr>
        <w:t>М</w:t>
      </w:r>
      <w:r w:rsidRPr="003B5A27">
        <w:rPr>
          <w:rFonts w:ascii="Times New Roman" w:eastAsia="Calibri" w:hAnsi="Times New Roman" w:cs="Times New Roman"/>
          <w:sz w:val="24"/>
          <w:szCs w:val="28"/>
          <w:lang w:val="en-US"/>
        </w:rPr>
        <w:t xml:space="preserve">.: </w:t>
      </w:r>
      <w:r w:rsidRPr="003B5A27">
        <w:rPr>
          <w:rFonts w:ascii="Times New Roman" w:eastAsia="Calibri" w:hAnsi="Times New Roman" w:cs="Times New Roman"/>
          <w:sz w:val="24"/>
          <w:szCs w:val="28"/>
        </w:rPr>
        <w:t>Издательство</w:t>
      </w:r>
      <w:r w:rsidRPr="003B5A27">
        <w:rPr>
          <w:rFonts w:ascii="Times New Roman" w:eastAsia="Calibri" w:hAnsi="Times New Roman" w:cs="Times New Roman"/>
          <w:sz w:val="24"/>
          <w:szCs w:val="28"/>
          <w:lang w:val="en-US"/>
        </w:rPr>
        <w:t xml:space="preserve"> «</w:t>
      </w:r>
      <w:r w:rsidRPr="003B5A27">
        <w:rPr>
          <w:rFonts w:ascii="Times New Roman" w:eastAsia="Calibri" w:hAnsi="Times New Roman" w:cs="Times New Roman"/>
          <w:sz w:val="24"/>
          <w:szCs w:val="28"/>
        </w:rPr>
        <w:t>Весь</w:t>
      </w:r>
      <w:r w:rsidRPr="003B5A27">
        <w:rPr>
          <w:rFonts w:ascii="Times New Roman" w:eastAsia="Calibri" w:hAnsi="Times New Roman" w:cs="Times New Roman"/>
          <w:sz w:val="24"/>
          <w:szCs w:val="28"/>
          <w:lang w:val="en-US"/>
        </w:rPr>
        <w:t xml:space="preserve"> </w:t>
      </w:r>
      <w:r w:rsidRPr="003B5A27">
        <w:rPr>
          <w:rFonts w:ascii="Times New Roman" w:eastAsia="Calibri" w:hAnsi="Times New Roman" w:cs="Times New Roman"/>
          <w:sz w:val="24"/>
          <w:szCs w:val="28"/>
        </w:rPr>
        <w:t>мир</w:t>
      </w:r>
      <w:r w:rsidRPr="003B5A27">
        <w:rPr>
          <w:rFonts w:ascii="Times New Roman" w:eastAsia="Calibri" w:hAnsi="Times New Roman" w:cs="Times New Roman"/>
          <w:sz w:val="24"/>
          <w:szCs w:val="28"/>
          <w:lang w:val="en-US"/>
        </w:rPr>
        <w:t xml:space="preserve">», 2007. – 304 </w:t>
      </w:r>
      <w:r w:rsidRPr="003B5A27">
        <w:rPr>
          <w:rFonts w:ascii="Times New Roman" w:eastAsia="Calibri" w:hAnsi="Times New Roman" w:cs="Times New Roman"/>
          <w:sz w:val="24"/>
          <w:szCs w:val="28"/>
        </w:rPr>
        <w:t>с</w:t>
      </w:r>
      <w:r w:rsidRPr="003B5A27">
        <w:rPr>
          <w:rFonts w:ascii="Times New Roman" w:eastAsia="Calibri" w:hAnsi="Times New Roman" w:cs="Times New Roman"/>
          <w:sz w:val="24"/>
          <w:szCs w:val="28"/>
          <w:lang w:val="en-US"/>
        </w:rPr>
        <w:t>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  <w:lang w:val="en-US"/>
        </w:rPr>
      </w:pPr>
      <w:proofErr w:type="spellStart"/>
      <w:r w:rsidRPr="003B5A27">
        <w:rPr>
          <w:rFonts w:ascii="Times New Roman" w:eastAsia="Calibri" w:hAnsi="Times New Roman" w:cs="Times New Roman"/>
          <w:sz w:val="24"/>
          <w:szCs w:val="28"/>
          <w:lang w:val="en-US"/>
        </w:rPr>
        <w:t>Alam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8"/>
          <w:lang w:val="en-US"/>
        </w:rPr>
        <w:t xml:space="preserve">, </w:t>
      </w:r>
      <w:proofErr w:type="spellStart"/>
      <w:r w:rsidRPr="003B5A27">
        <w:rPr>
          <w:rFonts w:ascii="Times New Roman" w:eastAsia="Calibri" w:hAnsi="Times New Roman" w:cs="Times New Roman"/>
          <w:sz w:val="24"/>
          <w:szCs w:val="28"/>
          <w:lang w:val="en-US"/>
        </w:rPr>
        <w:t>Masukujjaman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8"/>
          <w:lang w:val="en-US"/>
        </w:rPr>
        <w:t xml:space="preserve"> Risk Management Practices: A Critical Diagnosis of Some Selected Commercial Banks in Bangladesh // Journal of Business and Technology (Dhaka) Volume–VI, Number–01, January-June, 2011. pp. 15-35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  <w:lang w:val="en-US"/>
        </w:rPr>
      </w:pPr>
      <w:proofErr w:type="spellStart"/>
      <w:r w:rsidRPr="003B5A27">
        <w:rPr>
          <w:rFonts w:ascii="Times New Roman" w:eastAsia="Calibri" w:hAnsi="Times New Roman" w:cs="Times New Roman"/>
          <w:sz w:val="24"/>
          <w:szCs w:val="28"/>
          <w:lang w:val="en-US"/>
        </w:rPr>
        <w:t>Zupanovic</w:t>
      </w:r>
      <w:proofErr w:type="spellEnd"/>
      <w:r w:rsidRPr="003B5A27">
        <w:rPr>
          <w:rFonts w:ascii="Times New Roman" w:eastAsia="Calibri" w:hAnsi="Times New Roman" w:cs="Times New Roman"/>
          <w:sz w:val="24"/>
          <w:szCs w:val="28"/>
          <w:lang w:val="en-US"/>
        </w:rPr>
        <w:t xml:space="preserve"> Ivo, Sustainable Risk Management in the Banking Sector // Journal of Central Banking Theory and Practice, 2014, Vol.3 No.1, pp. 81-100 </w:t>
      </w:r>
    </w:p>
    <w:p w:rsidR="003B5A27" w:rsidRPr="003B5A27" w:rsidRDefault="003B5A27" w:rsidP="003B5A2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lang w:val="en-US"/>
        </w:rPr>
      </w:pPr>
    </w:p>
    <w:p w:rsidR="003B5A27" w:rsidRPr="003B5A27" w:rsidRDefault="003B5A27" w:rsidP="003B5A27">
      <w:pPr>
        <w:rPr>
          <w:rFonts w:ascii="Times New Roman" w:eastAsia="Calibri" w:hAnsi="Times New Roman" w:cs="Times New Roman"/>
          <w:b/>
          <w:sz w:val="24"/>
          <w:lang w:val="en-US"/>
        </w:rPr>
      </w:pPr>
      <w:r w:rsidRPr="003B5A27">
        <w:rPr>
          <w:rFonts w:ascii="Times New Roman" w:eastAsia="Calibri" w:hAnsi="Times New Roman" w:cs="Times New Roman"/>
          <w:b/>
          <w:sz w:val="24"/>
          <w:lang w:val="en-US"/>
        </w:rPr>
        <w:br w:type="page"/>
      </w:r>
    </w:p>
    <w:p w:rsidR="003B5A27" w:rsidRPr="003B5A27" w:rsidRDefault="003B5A27" w:rsidP="003B5A27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4"/>
        </w:rPr>
      </w:pPr>
      <w:r w:rsidRPr="003B5A27">
        <w:rPr>
          <w:rFonts w:ascii="Times New Roman" w:eastAsia="Calibri" w:hAnsi="Times New Roman" w:cs="Times New Roman"/>
          <w:b/>
          <w:sz w:val="24"/>
        </w:rPr>
        <w:lastRenderedPageBreak/>
        <w:t>Информация об авторе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Calibri" w:eastAsia="Calibri" w:hAnsi="Calibri" w:cs="Times New Roman"/>
          <w:color w:val="0000FF" w:themeColor="hyperlink"/>
          <w:u w:val="single"/>
        </w:rPr>
      </w:pPr>
      <w:proofErr w:type="spellStart"/>
      <w:r w:rsidRPr="003B5A27">
        <w:rPr>
          <w:rFonts w:ascii="Times New Roman" w:eastAsia="Calibri" w:hAnsi="Times New Roman" w:cs="Times New Roman"/>
          <w:sz w:val="24"/>
        </w:rPr>
        <w:t>Бушукина</w:t>
      </w:r>
      <w:proofErr w:type="spellEnd"/>
      <w:r w:rsidRPr="003B5A27">
        <w:rPr>
          <w:rFonts w:ascii="Times New Roman" w:eastAsia="Calibri" w:hAnsi="Times New Roman" w:cs="Times New Roman"/>
          <w:sz w:val="24"/>
        </w:rPr>
        <w:t xml:space="preserve"> Виктория Игоревна, Россия, г. Курган – студентка 5 курса экономического факультета, Федеральное государственное бюджетное образовательное учреждение высшего образования «Курганская государственная сельскохозяйственная академия имени Т.С. Мальцева» </w:t>
      </w:r>
      <w:r w:rsidRPr="003B5A27">
        <w:rPr>
          <w:rFonts w:ascii="Times New Roman" w:eastAsia="Calibri" w:hAnsi="Times New Roman" w:cs="Times New Roman"/>
          <w:sz w:val="24"/>
          <w:lang w:val="en-US"/>
        </w:rPr>
        <w:t>E</w:t>
      </w:r>
      <w:r w:rsidRPr="003B5A27">
        <w:rPr>
          <w:rFonts w:ascii="Times New Roman" w:eastAsia="Calibri" w:hAnsi="Times New Roman" w:cs="Times New Roman"/>
          <w:sz w:val="24"/>
        </w:rPr>
        <w:t>-</w:t>
      </w:r>
      <w:r w:rsidRPr="003B5A27">
        <w:rPr>
          <w:rFonts w:ascii="Times New Roman" w:eastAsia="Calibri" w:hAnsi="Times New Roman" w:cs="Times New Roman"/>
          <w:sz w:val="24"/>
          <w:lang w:val="en-US"/>
        </w:rPr>
        <w:t>mail</w:t>
      </w:r>
      <w:r w:rsidRPr="003B5A27">
        <w:rPr>
          <w:rFonts w:ascii="Times New Roman" w:eastAsia="Calibri" w:hAnsi="Times New Roman" w:cs="Times New Roman"/>
          <w:sz w:val="24"/>
        </w:rPr>
        <w:t xml:space="preserve">: </w:t>
      </w:r>
      <w:bookmarkStart w:id="1" w:name="_GoBack"/>
      <w:r w:rsidRPr="003B5A27">
        <w:rPr>
          <w:rFonts w:ascii="Calibri" w:eastAsia="Calibri" w:hAnsi="Calibri" w:cs="Times New Roman"/>
        </w:rPr>
        <w:fldChar w:fldCharType="begin"/>
      </w:r>
      <w:r w:rsidRPr="003B5A27">
        <w:rPr>
          <w:rFonts w:ascii="Calibri" w:eastAsia="Calibri" w:hAnsi="Calibri" w:cs="Times New Roman"/>
        </w:rPr>
        <w:instrText xml:space="preserve"> HYPERLINK "mailto:bu_victory@mail.ru" </w:instrText>
      </w:r>
      <w:r w:rsidRPr="003B5A27">
        <w:rPr>
          <w:rFonts w:ascii="Calibri" w:eastAsia="Calibri" w:hAnsi="Calibri" w:cs="Times New Roman"/>
        </w:rPr>
        <w:fldChar w:fldCharType="separate"/>
      </w:r>
      <w:r w:rsidRPr="003B5A27">
        <w:rPr>
          <w:rFonts w:ascii="Times New Roman" w:eastAsia="Calibri" w:hAnsi="Times New Roman" w:cs="Times New Roman"/>
          <w:color w:val="0000FF" w:themeColor="hyperlink"/>
          <w:sz w:val="24"/>
          <w:u w:val="single"/>
          <w:lang w:val="en-US"/>
        </w:rPr>
        <w:t>bu</w:t>
      </w:r>
      <w:r w:rsidRPr="003B5A27">
        <w:rPr>
          <w:rFonts w:ascii="Times New Roman" w:eastAsia="Calibri" w:hAnsi="Times New Roman" w:cs="Times New Roman"/>
          <w:color w:val="0000FF" w:themeColor="hyperlink"/>
          <w:sz w:val="24"/>
          <w:u w:val="single"/>
        </w:rPr>
        <w:t>_</w:t>
      </w:r>
      <w:r w:rsidRPr="003B5A27">
        <w:rPr>
          <w:rFonts w:ascii="Times New Roman" w:eastAsia="Calibri" w:hAnsi="Times New Roman" w:cs="Times New Roman"/>
          <w:color w:val="0000FF" w:themeColor="hyperlink"/>
          <w:sz w:val="24"/>
          <w:u w:val="single"/>
          <w:lang w:val="en-US"/>
        </w:rPr>
        <w:t>victory</w:t>
      </w:r>
      <w:r w:rsidRPr="003B5A27">
        <w:rPr>
          <w:rFonts w:ascii="Times New Roman" w:eastAsia="Calibri" w:hAnsi="Times New Roman" w:cs="Times New Roman"/>
          <w:color w:val="0000FF" w:themeColor="hyperlink"/>
          <w:sz w:val="24"/>
          <w:u w:val="single"/>
        </w:rPr>
        <w:t>@</w:t>
      </w:r>
      <w:r w:rsidRPr="003B5A27">
        <w:rPr>
          <w:rFonts w:ascii="Times New Roman" w:eastAsia="Calibri" w:hAnsi="Times New Roman" w:cs="Times New Roman"/>
          <w:color w:val="0000FF" w:themeColor="hyperlink"/>
          <w:sz w:val="24"/>
          <w:u w:val="single"/>
          <w:lang w:val="en-US"/>
        </w:rPr>
        <w:t>mail</w:t>
      </w:r>
      <w:r w:rsidRPr="003B5A27">
        <w:rPr>
          <w:rFonts w:ascii="Times New Roman" w:eastAsia="Calibri" w:hAnsi="Times New Roman" w:cs="Times New Roman"/>
          <w:color w:val="0000FF" w:themeColor="hyperlink"/>
          <w:sz w:val="24"/>
          <w:u w:val="single"/>
        </w:rPr>
        <w:t>.</w:t>
      </w:r>
      <w:r w:rsidRPr="003B5A27">
        <w:rPr>
          <w:rFonts w:ascii="Times New Roman" w:eastAsia="Calibri" w:hAnsi="Times New Roman" w:cs="Times New Roman"/>
          <w:color w:val="0000FF" w:themeColor="hyperlink"/>
          <w:sz w:val="24"/>
          <w:u w:val="single"/>
          <w:lang w:val="en-US"/>
        </w:rPr>
        <w:t>ru</w:t>
      </w:r>
      <w:r w:rsidRPr="003B5A27">
        <w:rPr>
          <w:rFonts w:ascii="Calibri" w:eastAsia="Calibri" w:hAnsi="Calibri" w:cs="Times New Roman"/>
        </w:rPr>
        <w:fldChar w:fldCharType="end"/>
      </w:r>
      <w:bookmarkEnd w:id="1"/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Calibri" w:eastAsia="Calibri" w:hAnsi="Calibri" w:cs="Times New Roman"/>
        </w:rPr>
      </w:pPr>
      <w:r w:rsidRPr="003B5A27">
        <w:rPr>
          <w:rFonts w:ascii="Times New Roman" w:eastAsia="Calibri" w:hAnsi="Times New Roman" w:cs="Times New Roman"/>
          <w:color w:val="0000FF" w:themeColor="hyperlink"/>
          <w:sz w:val="24"/>
          <w:u w:val="single"/>
        </w:rPr>
        <w:t>Научный руководитель:</w:t>
      </w:r>
      <w:r w:rsidRPr="003B5A27">
        <w:rPr>
          <w:rFonts w:ascii="Calibri" w:eastAsia="Calibri" w:hAnsi="Calibri" w:cs="Times New Roman"/>
        </w:rPr>
        <w:t xml:space="preserve"> </w:t>
      </w:r>
      <w:r w:rsidRPr="003B5A27">
        <w:rPr>
          <w:rFonts w:ascii="Times New Roman" w:eastAsia="Calibri" w:hAnsi="Times New Roman" w:cs="Times New Roman"/>
          <w:color w:val="0000FF" w:themeColor="hyperlink"/>
          <w:sz w:val="24"/>
          <w:u w:val="single"/>
        </w:rPr>
        <w:t>Мухина Елена Геннадьевна, д.э.н., доцент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</w:rPr>
      </w:pPr>
    </w:p>
    <w:p w:rsidR="003B5A27" w:rsidRPr="003B5A27" w:rsidRDefault="003B5A27" w:rsidP="003B5A27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4"/>
          <w:lang w:val="en-US"/>
        </w:rPr>
      </w:pPr>
      <w:proofErr w:type="spellStart"/>
      <w:r w:rsidRPr="003B5A27">
        <w:rPr>
          <w:rFonts w:ascii="Times New Roman" w:eastAsia="Calibri" w:hAnsi="Times New Roman" w:cs="Times New Roman"/>
          <w:sz w:val="24"/>
          <w:lang w:val="en-US"/>
        </w:rPr>
        <w:t>Bushukina</w:t>
      </w:r>
      <w:proofErr w:type="spellEnd"/>
      <w:r w:rsidRPr="003B5A27">
        <w:rPr>
          <w:rFonts w:ascii="Times New Roman" w:eastAsia="Calibri" w:hAnsi="Times New Roman" w:cs="Times New Roman"/>
          <w:sz w:val="24"/>
          <w:lang w:val="en-US"/>
        </w:rPr>
        <w:t xml:space="preserve"> V. I.</w:t>
      </w:r>
    </w:p>
    <w:p w:rsidR="003B5A27" w:rsidRPr="003B5A27" w:rsidRDefault="003B5A27" w:rsidP="003B5A27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4"/>
          <w:lang w:val="en-US"/>
        </w:rPr>
      </w:pPr>
      <w:r w:rsidRPr="003B5A27">
        <w:rPr>
          <w:rFonts w:ascii="Times New Roman" w:eastAsia="Calibri" w:hAnsi="Times New Roman" w:cs="Times New Roman"/>
          <w:sz w:val="24"/>
          <w:lang w:val="en-US"/>
        </w:rPr>
        <w:t xml:space="preserve">FINANCIAL SECURITY EVALUATION </w:t>
      </w:r>
    </w:p>
    <w:p w:rsidR="003B5A27" w:rsidRPr="003B5A27" w:rsidRDefault="003B5A27" w:rsidP="003B5A27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4"/>
          <w:lang w:val="en-US"/>
        </w:rPr>
      </w:pPr>
      <w:r w:rsidRPr="003B5A27">
        <w:rPr>
          <w:rFonts w:ascii="Times New Roman" w:eastAsia="Calibri" w:hAnsi="Times New Roman" w:cs="Times New Roman"/>
          <w:sz w:val="24"/>
          <w:lang w:val="en-US"/>
        </w:rPr>
        <w:t>OF THE REGIONAL RUSSIAN BANK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lang w:val="en-US"/>
        </w:rPr>
      </w:pP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lang w:val="en-US"/>
        </w:rPr>
      </w:pPr>
      <w:r w:rsidRPr="003B5A27">
        <w:rPr>
          <w:rFonts w:ascii="Times New Roman" w:eastAsia="Calibri" w:hAnsi="Times New Roman" w:cs="Times New Roman"/>
          <w:i/>
          <w:sz w:val="24"/>
          <w:u w:val="single"/>
          <w:lang w:val="en-US"/>
        </w:rPr>
        <w:t>Key words</w:t>
      </w:r>
      <w:r w:rsidRPr="003B5A27">
        <w:rPr>
          <w:rFonts w:ascii="Times New Roman" w:eastAsia="Calibri" w:hAnsi="Times New Roman" w:cs="Times New Roman"/>
          <w:i/>
          <w:sz w:val="24"/>
          <w:lang w:val="en-US"/>
        </w:rPr>
        <w:t>: financial security, financial stability, commercial bank, credit risk, liquidity, operational risk, interest rate risk.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lang w:val="en-US"/>
        </w:rPr>
      </w:pPr>
      <w:r w:rsidRPr="003B5A27">
        <w:rPr>
          <w:rFonts w:ascii="Times New Roman" w:eastAsia="Calibri" w:hAnsi="Times New Roman" w:cs="Times New Roman"/>
          <w:i/>
          <w:sz w:val="24"/>
          <w:u w:val="single"/>
          <w:lang w:val="en-US"/>
        </w:rPr>
        <w:t>Annotation:</w:t>
      </w:r>
      <w:r w:rsidRPr="003B5A27">
        <w:rPr>
          <w:rFonts w:ascii="Times New Roman" w:eastAsia="Calibri" w:hAnsi="Times New Roman" w:cs="Times New Roman"/>
          <w:i/>
          <w:sz w:val="24"/>
          <w:lang w:val="en-US"/>
        </w:rPr>
        <w:t xml:space="preserve"> the article deals with the concept of "financial security of a commercial bank", identified the main banking risks, the example of a regional Russian bank reviewed the risk management system and proposed methods for improving the system of financial security evaluation of the bank.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lang w:val="en-US"/>
        </w:rPr>
      </w:pPr>
    </w:p>
    <w:p w:rsidR="003B5A27" w:rsidRPr="003B5A27" w:rsidRDefault="003B5A27" w:rsidP="003B5A27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4"/>
          <w:lang w:val="en-US"/>
        </w:rPr>
      </w:pPr>
      <w:r w:rsidRPr="003B5A27">
        <w:rPr>
          <w:rFonts w:ascii="Times New Roman" w:eastAsia="Calibri" w:hAnsi="Times New Roman" w:cs="Times New Roman"/>
          <w:b/>
          <w:sz w:val="24"/>
          <w:lang w:val="en-US"/>
        </w:rPr>
        <w:t>Information about the author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lang w:val="en-US"/>
        </w:rPr>
      </w:pPr>
      <w:proofErr w:type="spellStart"/>
      <w:r w:rsidRPr="003B5A27">
        <w:rPr>
          <w:rFonts w:ascii="Times New Roman" w:eastAsia="Calibri" w:hAnsi="Times New Roman" w:cs="Times New Roman"/>
          <w:sz w:val="24"/>
          <w:lang w:val="en-US"/>
        </w:rPr>
        <w:t>Bushukina</w:t>
      </w:r>
      <w:proofErr w:type="spellEnd"/>
      <w:r w:rsidRPr="003B5A27">
        <w:rPr>
          <w:rFonts w:ascii="Times New Roman" w:eastAsia="Calibri" w:hAnsi="Times New Roman" w:cs="Times New Roman"/>
          <w:sz w:val="24"/>
          <w:lang w:val="en-US"/>
        </w:rPr>
        <w:t xml:space="preserve"> Vi</w:t>
      </w:r>
      <w:r w:rsidRPr="003B5A27">
        <w:rPr>
          <w:rFonts w:ascii="Times New Roman" w:eastAsia="Calibri" w:hAnsi="Times New Roman" w:cs="Times New Roman"/>
          <w:sz w:val="24"/>
        </w:rPr>
        <w:t>с</w:t>
      </w:r>
      <w:proofErr w:type="spellStart"/>
      <w:r w:rsidRPr="003B5A27">
        <w:rPr>
          <w:rFonts w:ascii="Times New Roman" w:eastAsia="Calibri" w:hAnsi="Times New Roman" w:cs="Times New Roman"/>
          <w:sz w:val="24"/>
          <w:lang w:val="en-US"/>
        </w:rPr>
        <w:t>toria</w:t>
      </w:r>
      <w:proofErr w:type="spellEnd"/>
      <w:r w:rsidRPr="003B5A27">
        <w:rPr>
          <w:rFonts w:ascii="Times New Roman" w:eastAsia="Calibri" w:hAnsi="Times New Roman" w:cs="Times New Roman"/>
          <w:sz w:val="24"/>
          <w:lang w:val="en-US"/>
        </w:rPr>
        <w:t xml:space="preserve"> </w:t>
      </w:r>
      <w:proofErr w:type="spellStart"/>
      <w:r w:rsidRPr="003B5A27">
        <w:rPr>
          <w:rFonts w:ascii="Times New Roman" w:eastAsia="Calibri" w:hAnsi="Times New Roman" w:cs="Times New Roman"/>
          <w:sz w:val="24"/>
          <w:lang w:val="en-US"/>
        </w:rPr>
        <w:t>Igorevna</w:t>
      </w:r>
      <w:proofErr w:type="spellEnd"/>
      <w:r w:rsidRPr="003B5A27">
        <w:rPr>
          <w:rFonts w:ascii="Times New Roman" w:eastAsia="Calibri" w:hAnsi="Times New Roman" w:cs="Times New Roman"/>
          <w:sz w:val="24"/>
          <w:lang w:val="en-US"/>
        </w:rPr>
        <w:t xml:space="preserve">, Russia, Kurgan, student, Federal State Budget Educational Institution of Higher Education "Kurgan State Agricultural Academy named after </w:t>
      </w:r>
      <w:r w:rsidRPr="003B5A27">
        <w:rPr>
          <w:rFonts w:ascii="Times New Roman" w:eastAsia="Calibri" w:hAnsi="Times New Roman" w:cs="Times New Roman"/>
          <w:sz w:val="24"/>
        </w:rPr>
        <w:t>Т</w:t>
      </w:r>
      <w:r w:rsidRPr="003B5A27">
        <w:rPr>
          <w:rFonts w:ascii="Times New Roman" w:eastAsia="Calibri" w:hAnsi="Times New Roman" w:cs="Times New Roman"/>
          <w:sz w:val="24"/>
          <w:lang w:val="en-US"/>
        </w:rPr>
        <w:t xml:space="preserve">.S. </w:t>
      </w:r>
      <w:proofErr w:type="spellStart"/>
      <w:r w:rsidRPr="003B5A27">
        <w:rPr>
          <w:rFonts w:ascii="Times New Roman" w:eastAsia="Calibri" w:hAnsi="Times New Roman" w:cs="Times New Roman"/>
          <w:sz w:val="24"/>
          <w:lang w:val="en-US"/>
        </w:rPr>
        <w:t>Malcev</w:t>
      </w:r>
      <w:proofErr w:type="spellEnd"/>
      <w:r w:rsidRPr="003B5A27">
        <w:rPr>
          <w:rFonts w:ascii="Times New Roman" w:eastAsia="Calibri" w:hAnsi="Times New Roman" w:cs="Times New Roman"/>
          <w:sz w:val="24"/>
          <w:lang w:val="en-US"/>
        </w:rPr>
        <w:t xml:space="preserve">» 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lang w:val="en-US"/>
        </w:rPr>
      </w:pPr>
      <w:r w:rsidRPr="003B5A27">
        <w:rPr>
          <w:rFonts w:ascii="Times New Roman" w:eastAsia="Calibri" w:hAnsi="Times New Roman" w:cs="Times New Roman"/>
          <w:sz w:val="24"/>
          <w:lang w:val="en-US"/>
        </w:rPr>
        <w:t>E-mail: bu_victory@mail.ru</w:t>
      </w:r>
    </w:p>
    <w:p w:rsidR="003B5A27" w:rsidRPr="003B5A27" w:rsidRDefault="003B5A27" w:rsidP="003B5A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lang w:val="en-US"/>
        </w:rPr>
      </w:pPr>
      <w:r w:rsidRPr="003B5A27">
        <w:rPr>
          <w:rFonts w:ascii="Times New Roman" w:eastAsia="Calibri" w:hAnsi="Times New Roman" w:cs="Times New Roman"/>
          <w:sz w:val="24"/>
          <w:lang w:val="en-US"/>
        </w:rPr>
        <w:t xml:space="preserve">Scientific adviser: </w:t>
      </w:r>
      <w:proofErr w:type="spellStart"/>
      <w:r w:rsidRPr="003B5A27">
        <w:rPr>
          <w:rFonts w:ascii="Times New Roman" w:eastAsia="Calibri" w:hAnsi="Times New Roman" w:cs="Times New Roman"/>
          <w:sz w:val="24"/>
          <w:lang w:val="en-US"/>
        </w:rPr>
        <w:t>Mukhina</w:t>
      </w:r>
      <w:proofErr w:type="spellEnd"/>
      <w:r w:rsidRPr="003B5A27">
        <w:rPr>
          <w:rFonts w:ascii="Times New Roman" w:eastAsia="Calibri" w:hAnsi="Times New Roman" w:cs="Times New Roman"/>
          <w:sz w:val="24"/>
          <w:lang w:val="en-US"/>
        </w:rPr>
        <w:t xml:space="preserve"> Elena </w:t>
      </w:r>
      <w:proofErr w:type="spellStart"/>
      <w:r w:rsidRPr="003B5A27">
        <w:rPr>
          <w:rFonts w:ascii="Times New Roman" w:eastAsia="Calibri" w:hAnsi="Times New Roman" w:cs="Times New Roman"/>
          <w:sz w:val="24"/>
          <w:lang w:val="en-US"/>
        </w:rPr>
        <w:t>Gennadievna</w:t>
      </w:r>
      <w:proofErr w:type="spellEnd"/>
      <w:r w:rsidRPr="003B5A27">
        <w:rPr>
          <w:rFonts w:ascii="Times New Roman" w:eastAsia="Calibri" w:hAnsi="Times New Roman" w:cs="Times New Roman"/>
          <w:sz w:val="24"/>
          <w:lang w:val="en-US"/>
        </w:rPr>
        <w:t>, Doctor of economic sciences, Assistant Professor</w:t>
      </w:r>
    </w:p>
    <w:p w:rsidR="003B5A27" w:rsidRPr="003B5A27" w:rsidRDefault="003B5A27" w:rsidP="003B5A27">
      <w:pPr>
        <w:rPr>
          <w:rFonts w:ascii="Times New Roman" w:eastAsia="Calibri" w:hAnsi="Times New Roman" w:cs="Times New Roman"/>
          <w:sz w:val="24"/>
          <w:lang w:val="en-US"/>
        </w:rPr>
      </w:pPr>
    </w:p>
    <w:p w:rsidR="00B40C46" w:rsidRPr="003B5A27" w:rsidRDefault="00B40C46">
      <w:pPr>
        <w:rPr>
          <w:lang w:val="en-US"/>
        </w:rPr>
      </w:pPr>
    </w:p>
    <w:sectPr w:rsidR="00B40C46" w:rsidRPr="003B5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24247"/>
    <w:multiLevelType w:val="hybridMultilevel"/>
    <w:tmpl w:val="C312FD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4017FBB"/>
    <w:multiLevelType w:val="hybridMultilevel"/>
    <w:tmpl w:val="107CB0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D7"/>
    <w:rsid w:val="002C28A9"/>
    <w:rsid w:val="00343BD7"/>
    <w:rsid w:val="003B5A27"/>
    <w:rsid w:val="00632B9C"/>
    <w:rsid w:val="006B49FB"/>
    <w:rsid w:val="00A42E1C"/>
    <w:rsid w:val="00B40C46"/>
    <w:rsid w:val="00FF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5A2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5A2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2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2283</Words>
  <Characters>13019</Characters>
  <Application>Microsoft Office Word</Application>
  <DocSecurity>0</DocSecurity>
  <Lines>108</Lines>
  <Paragraphs>30</Paragraphs>
  <ScaleCrop>false</ScaleCrop>
  <Company>SPecialiST RePack</Company>
  <LinksUpToDate>false</LinksUpToDate>
  <CharactersWithSpaces>15272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Г. Леонидова</dc:creator>
  <cp:keywords/>
  <dc:description/>
  <cp:lastModifiedBy>Екатерина Г. Леонидова</cp:lastModifiedBy>
  <cp:revision>2</cp:revision>
  <dcterms:created xsi:type="dcterms:W3CDTF">2017-05-15T07:12:00Z</dcterms:created>
  <dcterms:modified xsi:type="dcterms:W3CDTF">2017-05-15T07:12:00Z</dcterms:modified>
</cp:coreProperties>
</file>