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640" w:rsidRDefault="00401820" w:rsidP="0040182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  <w:r w:rsidRPr="00A0014C">
        <w:rPr>
          <w:rFonts w:ascii="Times New Roman" w:eastAsia="Times New Roman" w:hAnsi="Times New Roman" w:cs="Times New Roman"/>
          <w:b/>
          <w:sz w:val="24"/>
          <w:szCs w:val="24"/>
        </w:rPr>
        <w:t>УДК</w:t>
      </w:r>
      <w:r w:rsidR="00E4664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E46640" w:rsidRPr="00E4664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338.1</w:t>
      </w:r>
      <w:r w:rsidR="00E4664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401820" w:rsidRPr="00E46640" w:rsidRDefault="00401820" w:rsidP="0040182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A0014C">
        <w:rPr>
          <w:rFonts w:ascii="Times New Roman" w:eastAsia="Times New Roman" w:hAnsi="Times New Roman" w:cs="Times New Roman"/>
          <w:b/>
          <w:sz w:val="24"/>
          <w:szCs w:val="24"/>
        </w:rPr>
        <w:t>ББК</w:t>
      </w:r>
      <w:r w:rsidR="00E4664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E46640" w:rsidRPr="00E4664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65.05</w:t>
      </w:r>
    </w:p>
    <w:p w:rsidR="007F3FB5" w:rsidRPr="00A0014C" w:rsidRDefault="00957838" w:rsidP="00A0344E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0014C">
        <w:rPr>
          <w:rFonts w:ascii="Times New Roman" w:eastAsia="Times New Roman" w:hAnsi="Times New Roman" w:cs="Times New Roman"/>
          <w:b/>
          <w:sz w:val="24"/>
          <w:szCs w:val="24"/>
        </w:rPr>
        <w:t>Лукин Е</w:t>
      </w:r>
      <w:r w:rsidR="00A0014C" w:rsidRPr="00A0014C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A0014C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A0014C" w:rsidRPr="00A0014C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A0014C" w:rsidRPr="00A0014C" w:rsidRDefault="00A0014C" w:rsidP="00A001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0014C">
        <w:rPr>
          <w:rFonts w:ascii="Times New Roman" w:eastAsia="Times New Roman" w:hAnsi="Times New Roman" w:cs="Times New Roman"/>
          <w:b/>
          <w:sz w:val="24"/>
          <w:szCs w:val="24"/>
        </w:rPr>
        <w:t>ТЕНДЕНЦИИ И ПЕРСПЕКТИВЫ РОСТА РОССИЙСКОЙ ЭКОНОМИКИ</w:t>
      </w:r>
    </w:p>
    <w:p w:rsidR="00957838" w:rsidRPr="00A0014C" w:rsidRDefault="00957838" w:rsidP="00A0344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4417" w:rsidRPr="00EC278C" w:rsidRDefault="00556482" w:rsidP="00A0014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pacing w:val="-4"/>
          <w:sz w:val="24"/>
          <w:szCs w:val="24"/>
        </w:rPr>
      </w:pPr>
      <w:r w:rsidRPr="00EC278C">
        <w:rPr>
          <w:rFonts w:ascii="Times New Roman" w:hAnsi="Times New Roman" w:cs="Times New Roman"/>
          <w:i/>
          <w:spacing w:val="-4"/>
          <w:sz w:val="24"/>
          <w:szCs w:val="24"/>
        </w:rPr>
        <w:t xml:space="preserve">В статье </w:t>
      </w:r>
      <w:r w:rsidR="00364417" w:rsidRPr="00EC278C">
        <w:rPr>
          <w:rFonts w:ascii="Times New Roman" w:hAnsi="Times New Roman" w:cs="Times New Roman"/>
          <w:i/>
          <w:spacing w:val="-4"/>
          <w:sz w:val="24"/>
          <w:szCs w:val="24"/>
        </w:rPr>
        <w:t xml:space="preserve">проанализирована динамика </w:t>
      </w:r>
      <w:r w:rsidR="00957838" w:rsidRPr="00EC278C">
        <w:rPr>
          <w:rFonts w:ascii="Times New Roman" w:hAnsi="Times New Roman" w:cs="Times New Roman"/>
          <w:i/>
          <w:spacing w:val="-4"/>
          <w:sz w:val="24"/>
          <w:szCs w:val="24"/>
        </w:rPr>
        <w:t>основных макроэкономически</w:t>
      </w:r>
      <w:r w:rsidR="00364417" w:rsidRPr="00EC278C">
        <w:rPr>
          <w:rFonts w:ascii="Times New Roman" w:hAnsi="Times New Roman" w:cs="Times New Roman"/>
          <w:i/>
          <w:spacing w:val="-4"/>
          <w:sz w:val="24"/>
          <w:szCs w:val="24"/>
        </w:rPr>
        <w:t>х</w:t>
      </w:r>
      <w:r w:rsidR="00957838" w:rsidRPr="00EC278C">
        <w:rPr>
          <w:rFonts w:ascii="Times New Roman" w:hAnsi="Times New Roman" w:cs="Times New Roman"/>
          <w:i/>
          <w:spacing w:val="-4"/>
          <w:sz w:val="24"/>
          <w:szCs w:val="24"/>
        </w:rPr>
        <w:t xml:space="preserve"> показателей эк</w:t>
      </w:r>
      <w:r w:rsidR="00957838" w:rsidRPr="00EC278C">
        <w:rPr>
          <w:rFonts w:ascii="Times New Roman" w:hAnsi="Times New Roman" w:cs="Times New Roman"/>
          <w:i/>
          <w:spacing w:val="-4"/>
          <w:sz w:val="24"/>
          <w:szCs w:val="24"/>
        </w:rPr>
        <w:t>о</w:t>
      </w:r>
      <w:r w:rsidR="00957838" w:rsidRPr="00EC278C">
        <w:rPr>
          <w:rFonts w:ascii="Times New Roman" w:hAnsi="Times New Roman" w:cs="Times New Roman"/>
          <w:i/>
          <w:spacing w:val="-4"/>
          <w:sz w:val="24"/>
          <w:szCs w:val="24"/>
        </w:rPr>
        <w:t xml:space="preserve">номики России </w:t>
      </w:r>
      <w:r w:rsidR="00364417" w:rsidRPr="00EC278C">
        <w:rPr>
          <w:rFonts w:ascii="Times New Roman" w:hAnsi="Times New Roman" w:cs="Times New Roman"/>
          <w:i/>
          <w:spacing w:val="-4"/>
          <w:sz w:val="24"/>
          <w:szCs w:val="24"/>
        </w:rPr>
        <w:t xml:space="preserve">и отдельных ее секторов, </w:t>
      </w:r>
      <w:r w:rsidR="00957838" w:rsidRPr="00EC278C">
        <w:rPr>
          <w:rFonts w:ascii="Times New Roman" w:hAnsi="Times New Roman" w:cs="Times New Roman"/>
          <w:i/>
          <w:spacing w:val="-4"/>
          <w:sz w:val="24"/>
          <w:szCs w:val="24"/>
        </w:rPr>
        <w:t>обоснов</w:t>
      </w:r>
      <w:r w:rsidR="00364417" w:rsidRPr="00EC278C">
        <w:rPr>
          <w:rFonts w:ascii="Times New Roman" w:hAnsi="Times New Roman" w:cs="Times New Roman"/>
          <w:i/>
          <w:spacing w:val="-4"/>
          <w:sz w:val="24"/>
          <w:szCs w:val="24"/>
        </w:rPr>
        <w:t>ано</w:t>
      </w:r>
      <w:r w:rsidR="00957838" w:rsidRPr="00EC278C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="00364417" w:rsidRPr="00EC278C">
        <w:rPr>
          <w:rFonts w:ascii="Times New Roman" w:hAnsi="Times New Roman" w:cs="Times New Roman"/>
          <w:i/>
          <w:spacing w:val="-4"/>
          <w:sz w:val="24"/>
          <w:szCs w:val="24"/>
        </w:rPr>
        <w:t>наличие системных проблем в существ</w:t>
      </w:r>
      <w:r w:rsidR="00364417" w:rsidRPr="00EC278C">
        <w:rPr>
          <w:rFonts w:ascii="Times New Roman" w:hAnsi="Times New Roman" w:cs="Times New Roman"/>
          <w:i/>
          <w:spacing w:val="-4"/>
          <w:sz w:val="24"/>
          <w:szCs w:val="24"/>
        </w:rPr>
        <w:t>у</w:t>
      </w:r>
      <w:r w:rsidR="00364417" w:rsidRPr="00EC278C">
        <w:rPr>
          <w:rFonts w:ascii="Times New Roman" w:hAnsi="Times New Roman" w:cs="Times New Roman"/>
          <w:i/>
          <w:spacing w:val="-4"/>
          <w:sz w:val="24"/>
          <w:szCs w:val="24"/>
        </w:rPr>
        <w:t>ющей экономической политике. В качестве ключевых из них выделены низкая технологичность и слабое регулирование общественного воспроизводственного процесса. Показаны предпосылки и возможные направления запуска нового качественного экономического роста в стране.</w:t>
      </w:r>
    </w:p>
    <w:p w:rsidR="003469A5" w:rsidRPr="00A0014C" w:rsidRDefault="00957838" w:rsidP="00A0014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0014C">
        <w:rPr>
          <w:rFonts w:ascii="Times New Roman" w:hAnsi="Times New Roman" w:cs="Times New Roman"/>
          <w:i/>
          <w:sz w:val="24"/>
          <w:szCs w:val="24"/>
        </w:rPr>
        <w:t>Экономический рост</w:t>
      </w:r>
      <w:r w:rsidR="003469A5" w:rsidRPr="00A0014C">
        <w:rPr>
          <w:rFonts w:ascii="Times New Roman" w:hAnsi="Times New Roman" w:cs="Times New Roman"/>
          <w:i/>
          <w:sz w:val="24"/>
          <w:szCs w:val="24"/>
        </w:rPr>
        <w:t xml:space="preserve">, мультипликатор добавленной стоимости, </w:t>
      </w:r>
      <w:r w:rsidRPr="00A0014C">
        <w:rPr>
          <w:rFonts w:ascii="Times New Roman" w:hAnsi="Times New Roman" w:cs="Times New Roman"/>
          <w:i/>
          <w:sz w:val="24"/>
          <w:szCs w:val="24"/>
        </w:rPr>
        <w:t>воспроизводстве</w:t>
      </w:r>
      <w:r w:rsidRPr="00A0014C">
        <w:rPr>
          <w:rFonts w:ascii="Times New Roman" w:hAnsi="Times New Roman" w:cs="Times New Roman"/>
          <w:i/>
          <w:sz w:val="24"/>
          <w:szCs w:val="24"/>
        </w:rPr>
        <w:t>н</w:t>
      </w:r>
      <w:r w:rsidRPr="00A0014C">
        <w:rPr>
          <w:rFonts w:ascii="Times New Roman" w:hAnsi="Times New Roman" w:cs="Times New Roman"/>
          <w:i/>
          <w:sz w:val="24"/>
          <w:szCs w:val="24"/>
        </w:rPr>
        <w:t>ный процесс</w:t>
      </w:r>
      <w:r w:rsidR="003469A5" w:rsidRPr="00A0014C">
        <w:rPr>
          <w:rFonts w:ascii="Times New Roman" w:hAnsi="Times New Roman" w:cs="Times New Roman"/>
          <w:i/>
          <w:sz w:val="24"/>
          <w:szCs w:val="24"/>
        </w:rPr>
        <w:t>.</w:t>
      </w:r>
    </w:p>
    <w:p w:rsidR="00A0014C" w:rsidRDefault="00A0014C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C5809" w:rsidRDefault="00DA2EB5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Динамика ключевых макроэкономических показателей указывает на некоторое ожи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в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ление в российской экономике в последнее время. 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</w:t>
      </w:r>
      <w:r w:rsidRPr="00A0014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IV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квартале 2016 г. на фоне низкой базы наблюдается </w:t>
      </w:r>
      <w:r w:rsidR="00EC278C">
        <w:rPr>
          <w:rFonts w:ascii="Times New Roman" w:eastAsia="Calibri" w:hAnsi="Times New Roman" w:cs="Times New Roman"/>
          <w:sz w:val="24"/>
          <w:szCs w:val="24"/>
          <w:lang w:eastAsia="en-US"/>
        </w:rPr>
        <w:t>рост ВВП на 0,3% (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рис. 1).</w:t>
      </w:r>
      <w:r w:rsidR="00EC278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Позитивная динамика характерна прежде всего для реального сектора экономики. В</w:t>
      </w:r>
      <w:r w:rsidR="00A0344E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 </w:t>
      </w:r>
      <w:r w:rsidR="00A50753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всех</w:t>
      </w:r>
      <w:r w:rsidR="00A0344E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квартал</w:t>
      </w:r>
      <w:r w:rsidR="00A50753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ах</w:t>
      </w:r>
      <w:r w:rsidR="00A0344E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2016 г.</w:t>
      </w:r>
      <w:r w:rsidR="00A50753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в </w:t>
      </w:r>
      <w:r w:rsidR="00A50753" w:rsidRPr="00A0014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</w:t>
      </w:r>
      <w:r w:rsidR="00A50753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квартале 2017 г. </w:t>
      </w:r>
      <w:r w:rsidR="00A0344E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фиксир</w:t>
      </w:r>
      <w:r w:rsidR="00A50753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уется</w:t>
      </w:r>
      <w:r w:rsidR="00A0344E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рост промпроизводства (</w:t>
      </w:r>
      <w:r w:rsidR="00A50753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101,1; 101,5; 101,0; 101,7 и 100,1% соответственно</w:t>
      </w:r>
      <w:r w:rsidR="00A0344E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). </w:t>
      </w:r>
      <w:r w:rsidR="002D731C">
        <w:rPr>
          <w:rFonts w:ascii="Times New Roman" w:eastAsia="Calibri" w:hAnsi="Times New Roman" w:cs="Times New Roman"/>
          <w:sz w:val="24"/>
          <w:szCs w:val="24"/>
          <w:lang w:eastAsia="en-US"/>
        </w:rPr>
        <w:t>17 кварталов подряд растет сельское хозяйство.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Эти процессы сопровождаются ростом грузооборота транспорта.</w:t>
      </w:r>
    </w:p>
    <w:p w:rsidR="00975BF1" w:rsidRPr="00A0014C" w:rsidRDefault="00975BF1" w:rsidP="00975BF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399C589A" wp14:editId="3DFFEE1A">
            <wp:extent cx="6120130" cy="2836142"/>
            <wp:effectExtent l="0" t="0" r="0" b="254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64417" w:rsidRPr="00A0014C" w:rsidRDefault="00A0344E" w:rsidP="008C5809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Рисунок 1</w:t>
      </w:r>
      <w:r w:rsidR="00A0014C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</w:t>
      </w:r>
      <w:r w:rsidRPr="00A0014C">
        <w:rPr>
          <w:rFonts w:ascii="Times New Roman" w:hAnsi="Times New Roman" w:cs="Times New Roman"/>
          <w:sz w:val="24"/>
          <w:szCs w:val="24"/>
        </w:rPr>
        <w:t xml:space="preserve"> 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Динамика ключевых показателей экономики РФ, </w:t>
      </w:r>
      <w:r w:rsidR="00A0014C"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% к предыдущему периоду</w:t>
      </w:r>
    </w:p>
    <w:p w:rsidR="00A0344E" w:rsidRPr="00A0014C" w:rsidRDefault="00A0344E" w:rsidP="00A0344E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Источник: Росстат.</w:t>
      </w:r>
    </w:p>
    <w:p w:rsidR="00364417" w:rsidRDefault="00364417" w:rsidP="00A034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6"/>
          <w:lang w:eastAsia="en-US"/>
        </w:rPr>
      </w:pPr>
    </w:p>
    <w:p w:rsidR="00A50753" w:rsidRPr="00E46640" w:rsidRDefault="00EC278C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</w:pPr>
      <w:r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lastRenderedPageBreak/>
        <w:t>При этом в</w:t>
      </w:r>
      <w:r w:rsidR="00DA2EB5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 xml:space="preserve"> потребительском секторе ситуация в целом ухудшается. </w:t>
      </w:r>
      <w:r w:rsidR="00364417" w:rsidRPr="00E46640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>Реальные денежные доходы сокращаются с 2014 г.</w:t>
      </w:r>
      <w:r w:rsidR="00A0344E" w:rsidRPr="00E46640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 xml:space="preserve"> (рис. 2).</w:t>
      </w:r>
      <w:r w:rsidR="00364417" w:rsidRPr="00E46640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 xml:space="preserve"> К </w:t>
      </w:r>
      <w:r w:rsidR="00975BF1" w:rsidRPr="00E46640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>сожалению,</w:t>
      </w:r>
      <w:r w:rsidR="00364417" w:rsidRPr="00E46640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 xml:space="preserve"> в 2016 г., в след за </w:t>
      </w:r>
      <w:r w:rsidR="00364417" w:rsidRPr="00E46640">
        <w:rPr>
          <w:rFonts w:ascii="Times New Roman" w:eastAsia="Calibri" w:hAnsi="Times New Roman" w:cs="Times New Roman"/>
          <w:spacing w:val="-4"/>
          <w:sz w:val="24"/>
          <w:szCs w:val="24"/>
          <w:lang w:eastAsia="en-US"/>
        </w:rPr>
        <w:t>позитивной</w:t>
      </w:r>
      <w:r w:rsidR="00364417" w:rsidRPr="00E46640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 xml:space="preserve"> динамикой некоторых других показателей, не последовало улучшение ситуации с доходами. </w:t>
      </w:r>
      <w:r w:rsidR="00DA2EB5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 xml:space="preserve">Однако есть и некоторые позитивные моменты. </w:t>
      </w:r>
      <w:r w:rsidR="002D731C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>В последние 4 квартала обозначился рост реальных зарплат работников (</w:t>
      </w:r>
      <w:r w:rsidR="002D731C" w:rsidRPr="002D731C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>100,3</w:t>
      </w:r>
      <w:r w:rsidR="002D731C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 xml:space="preserve">; </w:t>
      </w:r>
      <w:r w:rsidR="002D731C" w:rsidRPr="002D731C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>101,2</w:t>
      </w:r>
      <w:r w:rsidR="002D731C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 xml:space="preserve">; </w:t>
      </w:r>
      <w:r w:rsidR="002D731C" w:rsidRPr="002D731C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>101,8</w:t>
      </w:r>
      <w:r w:rsidR="002D731C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 xml:space="preserve"> и </w:t>
      </w:r>
      <w:r w:rsidR="002D731C" w:rsidRPr="002D731C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>101,9</w:t>
      </w:r>
      <w:r w:rsidR="002D731C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 xml:space="preserve">%), в </w:t>
      </w:r>
      <w:r w:rsidR="002D731C">
        <w:rPr>
          <w:rFonts w:ascii="Times New Roman" w:eastAsia="Calibri" w:hAnsi="Times New Roman" w:cs="Times New Roman"/>
          <w:spacing w:val="-4"/>
          <w:sz w:val="24"/>
          <w:szCs w:val="26"/>
          <w:lang w:val="en-US" w:eastAsia="en-US"/>
        </w:rPr>
        <w:t>I</w:t>
      </w:r>
      <w:r w:rsidR="002D731C" w:rsidRPr="002D731C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 xml:space="preserve"> </w:t>
      </w:r>
      <w:r w:rsidR="002D731C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 xml:space="preserve">квартале 2017 г. на </w:t>
      </w:r>
      <w:r w:rsidR="002D731C" w:rsidRPr="002D731C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>11,9</w:t>
      </w:r>
      <w:r w:rsidR="002D731C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 xml:space="preserve">% увеличилась реальная пенсия (после 9 кварталов подряд снижения). </w:t>
      </w:r>
      <w:r w:rsidR="00A50753" w:rsidRPr="00E46640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 xml:space="preserve">Инфляция довольно стабильна – 1-2% в квартал (за исключением всплеска в </w:t>
      </w:r>
      <w:r w:rsidR="00A50753" w:rsidRPr="00E46640">
        <w:rPr>
          <w:rFonts w:ascii="Times New Roman" w:eastAsia="Calibri" w:hAnsi="Times New Roman" w:cs="Times New Roman"/>
          <w:spacing w:val="-4"/>
          <w:sz w:val="24"/>
          <w:szCs w:val="26"/>
          <w:lang w:val="en-US" w:eastAsia="en-US"/>
        </w:rPr>
        <w:t>I</w:t>
      </w:r>
      <w:r w:rsidR="00A50753" w:rsidRPr="00E46640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 xml:space="preserve"> квартале 2015 г. – 7,4%). </w:t>
      </w:r>
    </w:p>
    <w:p w:rsidR="00975BF1" w:rsidRPr="00364417" w:rsidRDefault="00975BF1" w:rsidP="00364417">
      <w:pPr>
        <w:spacing w:after="0"/>
        <w:jc w:val="center"/>
        <w:rPr>
          <w:rFonts w:ascii="Times New Roman" w:eastAsia="Calibri" w:hAnsi="Times New Roman" w:cs="Times New Roman"/>
          <w:sz w:val="28"/>
          <w:szCs w:val="26"/>
          <w:lang w:eastAsia="en-US"/>
        </w:rPr>
      </w:pPr>
      <w:r>
        <w:rPr>
          <w:noProof/>
        </w:rPr>
        <w:drawing>
          <wp:inline distT="0" distB="0" distL="0" distR="0" wp14:anchorId="0FE8D891" wp14:editId="6C37E6E0">
            <wp:extent cx="6114197" cy="2538484"/>
            <wp:effectExtent l="0" t="0" r="127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0344E" w:rsidRPr="00A0014C" w:rsidRDefault="00A0344E" w:rsidP="00A0014C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Рисунок 2</w:t>
      </w:r>
      <w:r w:rsid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Динамика ключевых показателей экономики РФ, </w:t>
      </w:r>
      <w:r w:rsidR="00A0014C"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% к предыдущему периоду</w:t>
      </w:r>
    </w:p>
    <w:p w:rsidR="00A0344E" w:rsidRPr="00A0344E" w:rsidRDefault="00A0344E" w:rsidP="00A0344E">
      <w:pPr>
        <w:spacing w:after="0"/>
        <w:rPr>
          <w:rFonts w:ascii="Arial" w:eastAsia="Calibri" w:hAnsi="Arial" w:cs="Arial"/>
          <w:b/>
          <w:sz w:val="16"/>
          <w:szCs w:val="18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Источник: Росстат.</w:t>
      </w:r>
    </w:p>
    <w:p w:rsidR="00A0014C" w:rsidRDefault="00A0014C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A2EB5" w:rsidRPr="00DA2EB5" w:rsidRDefault="00DA2EB5" w:rsidP="00DA2EB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В след за сокращение доходов населения сокращаются объемы розничной торговли и платных услуг населения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(рис. 4).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Некоторое оживление</w:t>
      </w:r>
      <w:r w:rsidR="00EC278C">
        <w:rPr>
          <w:rFonts w:ascii="Times New Roman" w:eastAsia="Calibri" w:hAnsi="Times New Roman" w:cs="Times New Roman"/>
          <w:sz w:val="24"/>
          <w:szCs w:val="24"/>
          <w:lang w:eastAsia="en-US"/>
        </w:rPr>
        <w:t>, обусловившее рост реального пр</w:t>
      </w:r>
      <w:r w:rsidR="00EC278C"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r w:rsidR="00EC278C">
        <w:rPr>
          <w:rFonts w:ascii="Times New Roman" w:eastAsia="Calibri" w:hAnsi="Times New Roman" w:cs="Times New Roman"/>
          <w:sz w:val="24"/>
          <w:szCs w:val="24"/>
          <w:lang w:eastAsia="en-US"/>
        </w:rPr>
        <w:t>изводства,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намечается во внешней торговле. В </w:t>
      </w: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IV</w:t>
      </w:r>
      <w:r w:rsidRPr="00DA2EB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квартале 2016 г. экспорт вырос на 1,8%, импорт – на 8,8%.</w:t>
      </w:r>
    </w:p>
    <w:p w:rsidR="00DA2EB5" w:rsidRDefault="00DA2EB5" w:rsidP="00DA2EB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6"/>
          <w:lang w:eastAsia="en-US"/>
        </w:rPr>
      </w:pPr>
      <w:r>
        <w:rPr>
          <w:noProof/>
        </w:rPr>
        <w:drawing>
          <wp:inline distT="0" distB="0" distL="0" distR="0" wp14:anchorId="36347A33" wp14:editId="1640BED6">
            <wp:extent cx="6114197" cy="2415653"/>
            <wp:effectExtent l="0" t="0" r="1270" b="381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A2EB5" w:rsidRPr="00A0014C" w:rsidRDefault="00DA2EB5" w:rsidP="00DA2EB5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Рисунок 4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Динамика развития ключевых секторов экономики РФ,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% к предыдущему периоду</w:t>
      </w:r>
    </w:p>
    <w:p w:rsidR="00DA2EB5" w:rsidRPr="00A0014C" w:rsidRDefault="00DA2EB5" w:rsidP="00DA2EB5">
      <w:pPr>
        <w:spacing w:after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Источник: Росстат.</w:t>
      </w:r>
    </w:p>
    <w:p w:rsidR="00DA2EB5" w:rsidRDefault="00DA2EB5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D731C" w:rsidRDefault="002D731C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</w:pPr>
      <w:r w:rsidRPr="00E46640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>Последние три квартала растет занятость, сокращается безработица</w:t>
      </w:r>
      <w:r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 xml:space="preserve"> (рис. 3)</w:t>
      </w:r>
      <w:r w:rsidRPr="00E46640">
        <w:rPr>
          <w:rFonts w:ascii="Times New Roman" w:eastAsia="Calibri" w:hAnsi="Times New Roman" w:cs="Times New Roman"/>
          <w:spacing w:val="-4"/>
          <w:sz w:val="24"/>
          <w:szCs w:val="26"/>
          <w:lang w:eastAsia="en-US"/>
        </w:rPr>
        <w:t>.</w:t>
      </w:r>
    </w:p>
    <w:p w:rsidR="002D731C" w:rsidRDefault="002D731C" w:rsidP="002D731C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5DAB2AF9" wp14:editId="04F42BE5">
            <wp:extent cx="6114197" cy="2415653"/>
            <wp:effectExtent l="0" t="0" r="1270" b="381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D731C" w:rsidRPr="00A0014C" w:rsidRDefault="002D731C" w:rsidP="002D731C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Рисунок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3 –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Динамика ключевых показателей экономики РФ,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% к предыдущему периоду</w:t>
      </w:r>
    </w:p>
    <w:p w:rsidR="002D731C" w:rsidRDefault="002D731C" w:rsidP="002D731C">
      <w:pPr>
        <w:spacing w:after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Источник: Росстат.</w:t>
      </w:r>
    </w:p>
    <w:p w:rsidR="002D731C" w:rsidRDefault="002D731C" w:rsidP="002D731C">
      <w:pPr>
        <w:spacing w:after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975BF1" w:rsidRDefault="00EC278C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Наиболее с</w:t>
      </w:r>
      <w:r w:rsidR="002D731C">
        <w:rPr>
          <w:rFonts w:ascii="Times New Roman" w:eastAsia="Calibri" w:hAnsi="Times New Roman" w:cs="Times New Roman"/>
          <w:sz w:val="24"/>
          <w:szCs w:val="24"/>
          <w:lang w:eastAsia="en-US"/>
        </w:rPr>
        <w:t>ложная ситуация сохраняется в инвестиционном секторе экономики (рис. 4). Р</w:t>
      </w:r>
      <w:r w:rsidR="00975BF1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ост</w:t>
      </w:r>
      <w:r w:rsidR="002D73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инвестиций</w:t>
      </w:r>
      <w:r w:rsidR="00975BF1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(100,5%) был зафиксирован только в одном из 10 последних кварталов.</w:t>
      </w:r>
      <w:r w:rsidR="002D73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Из-за сокращения доходов населения п</w:t>
      </w:r>
      <w:r w:rsidR="002D731C">
        <w:rPr>
          <w:rFonts w:ascii="Times New Roman" w:eastAsia="Calibri" w:hAnsi="Times New Roman" w:cs="Times New Roman"/>
          <w:sz w:val="24"/>
          <w:szCs w:val="24"/>
          <w:lang w:eastAsia="en-US"/>
        </w:rPr>
        <w:t>адают объемы строительства и ввода в действие ж</w:t>
      </w:r>
      <w:r w:rsidR="002D731C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 w:rsidR="002D731C">
        <w:rPr>
          <w:rFonts w:ascii="Times New Roman" w:eastAsia="Calibri" w:hAnsi="Times New Roman" w:cs="Times New Roman"/>
          <w:sz w:val="24"/>
          <w:szCs w:val="24"/>
          <w:lang w:eastAsia="en-US"/>
        </w:rPr>
        <w:t>лых до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мов, что оказывает понижающее влияние на спрос на продукцию инвестиционных о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т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раслей промышленности.</w:t>
      </w:r>
    </w:p>
    <w:p w:rsidR="00975BF1" w:rsidRDefault="002D731C" w:rsidP="002D731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281D5DFD" wp14:editId="5E5D64AB">
            <wp:extent cx="6120130" cy="2834247"/>
            <wp:effectExtent l="0" t="0" r="0" b="444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D731C" w:rsidRPr="00A0014C" w:rsidRDefault="002D731C" w:rsidP="002D731C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Рисунок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4 –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Динамика ключевых показателей экономики РФ,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% к предыдущему периоду</w:t>
      </w:r>
    </w:p>
    <w:p w:rsidR="002D731C" w:rsidRDefault="002D731C" w:rsidP="002D731C">
      <w:pPr>
        <w:spacing w:after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Источник: Росстат.</w:t>
      </w:r>
    </w:p>
    <w:p w:rsidR="002D731C" w:rsidRDefault="002D731C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64417" w:rsidRPr="00A0014C" w:rsidRDefault="00636B11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Как уже отмечалось</w:t>
      </w:r>
      <w:r w:rsidR="00873563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промышленное производство</w:t>
      </w:r>
      <w:r w:rsidR="0087356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возобновило рост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="00364417" w:rsidRPr="00636B1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отраслевом разрезе наблюдается </w:t>
      </w:r>
      <w:r w:rsidR="00873563">
        <w:rPr>
          <w:rFonts w:ascii="Times New Roman" w:eastAsia="Calibri" w:hAnsi="Times New Roman" w:cs="Times New Roman"/>
          <w:sz w:val="24"/>
          <w:szCs w:val="24"/>
          <w:lang w:eastAsia="en-US"/>
        </w:rPr>
        <w:t>он характерен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как </w:t>
      </w:r>
      <w:r w:rsidR="0087356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для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добыч</w:t>
      </w:r>
      <w:r w:rsidR="00873563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полезных ископаемых</w:t>
      </w:r>
      <w:r w:rsidR="00873563">
        <w:rPr>
          <w:rFonts w:ascii="Times New Roman" w:eastAsia="Calibri" w:hAnsi="Times New Roman" w:cs="Times New Roman"/>
          <w:sz w:val="24"/>
          <w:szCs w:val="24"/>
          <w:lang w:eastAsia="en-US"/>
        </w:rPr>
        <w:t>, так и для энерг</w:t>
      </w:r>
      <w:r w:rsidR="00873563">
        <w:rPr>
          <w:rFonts w:ascii="Times New Roman" w:eastAsia="Calibri" w:hAnsi="Times New Roman" w:cs="Times New Roman"/>
          <w:sz w:val="24"/>
          <w:szCs w:val="24"/>
          <w:lang w:eastAsia="en-US"/>
        </w:rPr>
        <w:t>е</w:t>
      </w:r>
      <w:r w:rsidR="00873563">
        <w:rPr>
          <w:rFonts w:ascii="Times New Roman" w:eastAsia="Calibri" w:hAnsi="Times New Roman" w:cs="Times New Roman"/>
          <w:sz w:val="24"/>
          <w:szCs w:val="24"/>
          <w:lang w:eastAsia="en-US"/>
        </w:rPr>
        <w:t>тики и обработки (</w:t>
      </w:r>
      <w:r w:rsidR="00A0344E" w:rsidRPr="00636B11">
        <w:rPr>
          <w:rFonts w:ascii="Times New Roman" w:eastAsia="Calibri" w:hAnsi="Times New Roman" w:cs="Times New Roman"/>
          <w:sz w:val="24"/>
          <w:szCs w:val="24"/>
          <w:lang w:eastAsia="en-US"/>
        </w:rPr>
        <w:t>рис. 3)</w:t>
      </w:r>
      <w:r w:rsidR="00364417" w:rsidRPr="00636B1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</w:p>
    <w:p w:rsidR="00636B11" w:rsidRDefault="00636B11" w:rsidP="00FE196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6"/>
          <w:lang w:eastAsia="en-US"/>
        </w:rPr>
      </w:pPr>
      <w:r>
        <w:rPr>
          <w:noProof/>
        </w:rPr>
        <w:drawing>
          <wp:inline distT="0" distB="0" distL="0" distR="0" wp14:anchorId="2587C739" wp14:editId="495FEC68">
            <wp:extent cx="5759355" cy="2961565"/>
            <wp:effectExtent l="0" t="0" r="0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FE1965" w:rsidRPr="00A0014C" w:rsidRDefault="00FE1965" w:rsidP="00A0014C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Рисунок </w:t>
      </w:r>
      <w:r w:rsidR="00EC278C">
        <w:rPr>
          <w:rFonts w:ascii="Times New Roman" w:eastAsia="Calibri" w:hAnsi="Times New Roman" w:cs="Times New Roman"/>
          <w:sz w:val="24"/>
          <w:szCs w:val="24"/>
          <w:lang w:eastAsia="en-US"/>
        </w:rPr>
        <w:t>5</w:t>
      </w:r>
      <w:r w:rsid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Динамика </w:t>
      </w:r>
      <w:r w:rsidR="00636B11">
        <w:rPr>
          <w:rFonts w:ascii="Times New Roman" w:eastAsia="Calibri" w:hAnsi="Times New Roman" w:cs="Times New Roman"/>
          <w:sz w:val="24"/>
          <w:szCs w:val="24"/>
          <w:lang w:eastAsia="en-US"/>
        </w:rPr>
        <w:t>промышленного производства РФ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 w:rsidR="00A0014C"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% к предыдущему периоду</w:t>
      </w:r>
    </w:p>
    <w:p w:rsidR="00FE1965" w:rsidRDefault="00FE1965" w:rsidP="00FE1965">
      <w:pPr>
        <w:spacing w:after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Источник: Росстат.</w:t>
      </w:r>
    </w:p>
    <w:p w:rsidR="00A0014C" w:rsidRDefault="00A0014C" w:rsidP="00043A8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73563" w:rsidRDefault="00873563" w:rsidP="00043A8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36B1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Относительно неплохо себя чувствуют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отрасли промышленности конечного спроса – в 2016 г. </w:t>
      </w:r>
      <w:r w:rsidRPr="00636B1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пищевая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отрасль выросла на 2,4%, легкая – на 5,3% (рис. 6).</w:t>
      </w:r>
    </w:p>
    <w:p w:rsidR="00FE1965" w:rsidRDefault="00636B11" w:rsidP="00636B11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0AFEC2F0" wp14:editId="2A9DFBF1">
            <wp:extent cx="5759356" cy="2279176"/>
            <wp:effectExtent l="0" t="0" r="0" b="6985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636B11" w:rsidRPr="00A0014C" w:rsidRDefault="00636B11" w:rsidP="00636B1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Рисунок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6 –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Динамика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производства отраслей промышленности конечного спроса РФ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% к предыдущему периоду</w:t>
      </w:r>
    </w:p>
    <w:p w:rsidR="00636B11" w:rsidRDefault="00636B11" w:rsidP="00636B11">
      <w:pPr>
        <w:spacing w:after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Источник: Росстат.</w:t>
      </w:r>
    </w:p>
    <w:p w:rsidR="00636B11" w:rsidRDefault="00636B11" w:rsidP="008735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73563" w:rsidRDefault="00873563" w:rsidP="008735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Разнонаправленную динамику демонстрируют эспортоориентованные отрасли пр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межуточного спроса. </w:t>
      </w:r>
      <w:r w:rsidR="00E868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Рост в 2016 г. показали химическое производство и деревопереработка </w:t>
      </w:r>
      <w:r w:rsidR="00E86880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(5,3 и 1,4% соответственно). Снижение объемов – металлургия, производство кокса и нефт</w:t>
      </w:r>
      <w:r w:rsidR="00E86880">
        <w:rPr>
          <w:rFonts w:ascii="Times New Roman" w:eastAsia="Calibri" w:hAnsi="Times New Roman" w:cs="Times New Roman"/>
          <w:sz w:val="24"/>
          <w:szCs w:val="24"/>
          <w:lang w:eastAsia="en-US"/>
        </w:rPr>
        <w:t>е</w:t>
      </w:r>
      <w:r w:rsidR="00E86880">
        <w:rPr>
          <w:rFonts w:ascii="Times New Roman" w:eastAsia="Calibri" w:hAnsi="Times New Roman" w:cs="Times New Roman"/>
          <w:sz w:val="24"/>
          <w:szCs w:val="24"/>
          <w:lang w:eastAsia="en-US"/>
        </w:rPr>
        <w:t>продуктов (2,3 и 2,4% соответственно).</w:t>
      </w:r>
    </w:p>
    <w:p w:rsidR="00636B11" w:rsidRDefault="00636B11" w:rsidP="00636B11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55D6C7FC" wp14:editId="6E62BAC2">
            <wp:extent cx="5759355" cy="3070746"/>
            <wp:effectExtent l="0" t="0" r="0" b="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636B11" w:rsidRPr="00A0014C" w:rsidRDefault="00636B11" w:rsidP="00636B1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Рисунок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 –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Динамика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производства отраслей промышленности промежуточного спроса РФ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% к предыдущему периоду</w:t>
      </w:r>
    </w:p>
    <w:p w:rsidR="00636B11" w:rsidRDefault="00636B11" w:rsidP="00636B11">
      <w:pPr>
        <w:spacing w:after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Источник: Росстат.</w:t>
      </w:r>
    </w:p>
    <w:p w:rsidR="00873563" w:rsidRDefault="00873563" w:rsidP="008735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36B11" w:rsidRDefault="00873563" w:rsidP="008735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36B1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Особенно хочется отметить </w:t>
      </w:r>
      <w:r w:rsidR="00E868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продолжающийся </w:t>
      </w:r>
      <w:r w:rsidRPr="00636B11">
        <w:rPr>
          <w:rFonts w:ascii="Times New Roman" w:eastAsia="Calibri" w:hAnsi="Times New Roman" w:cs="Times New Roman"/>
          <w:sz w:val="24"/>
          <w:szCs w:val="24"/>
          <w:lang w:eastAsia="en-US"/>
        </w:rPr>
        <w:t>спад в секторе инвестиционного спроса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(рис. 8)</w:t>
      </w:r>
      <w:r w:rsidRPr="00636B11">
        <w:rPr>
          <w:rFonts w:ascii="Times New Roman" w:eastAsia="Calibri" w:hAnsi="Times New Roman" w:cs="Times New Roman"/>
          <w:sz w:val="24"/>
          <w:szCs w:val="24"/>
          <w:lang w:eastAsia="en-US"/>
        </w:rPr>
        <w:t>. Это плохой сигнал о будущей динамике инвестиций.</w:t>
      </w:r>
    </w:p>
    <w:p w:rsidR="00636B11" w:rsidRDefault="00636B11" w:rsidP="00636B11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35ABBC98" wp14:editId="72808A82">
            <wp:extent cx="5759355" cy="3261815"/>
            <wp:effectExtent l="0" t="0" r="0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636B11" w:rsidRPr="00A0014C" w:rsidRDefault="00636B11" w:rsidP="00636B1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Рисунок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8 –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Динамика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производства отраслей промышленности инвестиционного спроса РФ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% к предыдущему периоду</w:t>
      </w:r>
    </w:p>
    <w:p w:rsidR="00636B11" w:rsidRDefault="00636B11" w:rsidP="00636B11">
      <w:pPr>
        <w:spacing w:after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Источник: Росстат.</w:t>
      </w:r>
    </w:p>
    <w:p w:rsidR="00873563" w:rsidRDefault="00873563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64417" w:rsidRPr="00A0014C" w:rsidRDefault="00873563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В целом, н</w:t>
      </w:r>
      <w:r w:rsidR="00797BF3">
        <w:rPr>
          <w:rFonts w:ascii="Times New Roman" w:eastAsia="Calibri" w:hAnsi="Times New Roman" w:cs="Times New Roman"/>
          <w:sz w:val="24"/>
          <w:szCs w:val="24"/>
          <w:lang w:eastAsia="en-US"/>
        </w:rPr>
        <w:t>есмотря на наличие некоторых положительных моментов, п</w:t>
      </w:r>
      <w:r w:rsidR="00364417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редставленные данные позволяют констатировать </w:t>
      </w:r>
      <w:r w:rsidR="00797BF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глубокий </w:t>
      </w:r>
      <w:r w:rsidR="00364417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кризис российской экономик</w:t>
      </w:r>
      <w:r w:rsidR="00797BF3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 w:rsidR="00364417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наличие с</w:t>
      </w:r>
      <w:r w:rsidR="00364417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 w:rsidR="00364417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стемных проблем в существующей экономической политике. Проводимые в нашем инстит</w:t>
      </w:r>
      <w:r w:rsidR="00364417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у</w:t>
      </w:r>
      <w:r w:rsidR="00364417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те исследования позволяют выделить ключевые из них.</w:t>
      </w:r>
    </w:p>
    <w:p w:rsidR="00364417" w:rsidRPr="00A0014C" w:rsidRDefault="00364417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Первая из них – это короткие технологические цепочки. Наша экономика в основном ограничивается первичным переделом сырьевых ресурсов, сокращая тем самым свои поте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н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циальные доходы, часть из которых можно было бы использовать для модернизации прои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з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водств. Такое положение вещей негативно сказывается на конкурентоспособности выпуск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а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емой продукции, производительности труда, технологическом уровне производств и т.д.</w:t>
      </w:r>
    </w:p>
    <w:p w:rsidR="00364417" w:rsidRPr="00E46640" w:rsidRDefault="00364417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pacing w:val="-4"/>
          <w:sz w:val="24"/>
          <w:szCs w:val="24"/>
          <w:lang w:eastAsia="en-US"/>
        </w:rPr>
      </w:pPr>
      <w:r w:rsidRPr="00E46640">
        <w:rPr>
          <w:rFonts w:ascii="Times New Roman" w:eastAsia="Calibri" w:hAnsi="Times New Roman" w:cs="Times New Roman"/>
          <w:spacing w:val="-4"/>
          <w:sz w:val="24"/>
          <w:szCs w:val="24"/>
          <w:lang w:eastAsia="en-US"/>
        </w:rPr>
        <w:t>Недостаточную глубину переработки сырьевых ресурсов в экономике России наглядно демонстрирует мультипликатор добавленной стоимости</w:t>
      </w:r>
      <w:r w:rsidR="00FE1965" w:rsidRPr="00E46640">
        <w:rPr>
          <w:rFonts w:ascii="Times New Roman" w:eastAsia="Calibri" w:hAnsi="Times New Roman" w:cs="Times New Roman"/>
          <w:spacing w:val="-4"/>
          <w:sz w:val="24"/>
          <w:szCs w:val="24"/>
          <w:lang w:eastAsia="en-US"/>
        </w:rPr>
        <w:t xml:space="preserve"> (рис. 5)</w:t>
      </w:r>
      <w:r w:rsidRPr="00E46640">
        <w:rPr>
          <w:rFonts w:ascii="Times New Roman" w:eastAsia="Calibri" w:hAnsi="Times New Roman" w:cs="Times New Roman"/>
          <w:spacing w:val="-4"/>
          <w:sz w:val="24"/>
          <w:szCs w:val="24"/>
          <w:lang w:eastAsia="en-US"/>
        </w:rPr>
        <w:t>. Он существенно ниже уровня развитых стран. Исчисляется он отношением совокупной величины товарной массы к стоимости первичных сырьевых ресурсов.</w:t>
      </w:r>
      <w:r w:rsidR="00A0344E" w:rsidRPr="00E46640">
        <w:rPr>
          <w:rFonts w:ascii="Times New Roman" w:eastAsia="Calibri" w:hAnsi="Times New Roman" w:cs="Times New Roman"/>
          <w:spacing w:val="-4"/>
          <w:sz w:val="24"/>
          <w:szCs w:val="24"/>
          <w:lang w:eastAsia="en-US"/>
        </w:rPr>
        <w:t xml:space="preserve"> </w:t>
      </w:r>
      <w:r w:rsidRPr="00E46640">
        <w:rPr>
          <w:rFonts w:ascii="Times New Roman" w:eastAsia="Calibri" w:hAnsi="Times New Roman" w:cs="Times New Roman"/>
          <w:spacing w:val="-4"/>
          <w:sz w:val="24"/>
          <w:szCs w:val="24"/>
          <w:lang w:eastAsia="en-US"/>
        </w:rPr>
        <w:t>Крайне низкая величина мультипликатора добавленной стоим</w:t>
      </w:r>
      <w:r w:rsidRPr="00E46640">
        <w:rPr>
          <w:rFonts w:ascii="Times New Roman" w:eastAsia="Calibri" w:hAnsi="Times New Roman" w:cs="Times New Roman"/>
          <w:spacing w:val="-4"/>
          <w:sz w:val="24"/>
          <w:szCs w:val="24"/>
          <w:lang w:eastAsia="en-US"/>
        </w:rPr>
        <w:t>о</w:t>
      </w:r>
      <w:r w:rsidRPr="00E46640">
        <w:rPr>
          <w:rFonts w:ascii="Times New Roman" w:eastAsia="Calibri" w:hAnsi="Times New Roman" w:cs="Times New Roman"/>
          <w:spacing w:val="-4"/>
          <w:sz w:val="24"/>
          <w:szCs w:val="24"/>
          <w:lang w:eastAsia="en-US"/>
        </w:rPr>
        <w:t xml:space="preserve">сти исчерпывающе характеризует природу нынешнего экономического развития, при котором экономика России выступает сырьевым источником для экономик развитых стран. </w:t>
      </w:r>
    </w:p>
    <w:p w:rsidR="00A0344E" w:rsidRPr="00364417" w:rsidRDefault="00A0344E" w:rsidP="00A0344E">
      <w:pPr>
        <w:spacing w:after="0"/>
        <w:jc w:val="center"/>
        <w:rPr>
          <w:rFonts w:ascii="Times New Roman" w:eastAsia="Calibri" w:hAnsi="Times New Roman" w:cs="Times New Roman"/>
          <w:spacing w:val="-4"/>
          <w:sz w:val="28"/>
          <w:szCs w:val="26"/>
          <w:lang w:eastAsia="en-US"/>
        </w:rPr>
      </w:pPr>
      <w:r w:rsidRPr="00A0344E">
        <w:rPr>
          <w:rFonts w:ascii="Times New Roman" w:eastAsia="Calibri" w:hAnsi="Times New Roman" w:cs="Times New Roman"/>
          <w:noProof/>
          <w:spacing w:val="-4"/>
          <w:sz w:val="28"/>
          <w:szCs w:val="26"/>
        </w:rPr>
        <w:drawing>
          <wp:inline distT="0" distB="0" distL="0" distR="0" wp14:anchorId="6B819115" wp14:editId="64A7D11B">
            <wp:extent cx="6120130" cy="1905079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A0344E" w:rsidRPr="00A0014C" w:rsidRDefault="00A0344E" w:rsidP="00A0014C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Рисунок 5</w:t>
      </w:r>
      <w:r w:rsid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Динамика мультипликатора добавленной стоимости в экономике</w:t>
      </w:r>
    </w:p>
    <w:p w:rsidR="00A0344E" w:rsidRPr="00A0014C" w:rsidRDefault="00A0344E" w:rsidP="00A0344E">
      <w:pPr>
        <w:spacing w:after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Источник: рассчитано автором на основе данных Росстата, BEA.</w:t>
      </w:r>
    </w:p>
    <w:p w:rsidR="00A0344E" w:rsidRPr="00A0014C" w:rsidRDefault="00A0344E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64417" w:rsidRPr="00A0014C" w:rsidRDefault="00364417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Изменение качества экономического роста возможно только за счет разворота к выс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котехнологическому развитию.</w:t>
      </w:r>
      <w:r w:rsidR="00FE1965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Но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E1965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 этом 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возникает вторая проблема – слабое госуда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р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ственное регулирование воспроизводственного процесса.</w:t>
      </w:r>
    </w:p>
    <w:p w:rsidR="00A0344E" w:rsidRPr="00E46640" w:rsidRDefault="00364417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E46640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Во-первых, следует отметить, что на цели инвестирования используется далеко не все потенциально возможные для этого средства. Валовое накопление основного капитала в 2015 г. составило 17,7 трлн. руб., или 22% ВВП (это существенно ниже, чем необходимо для ос</w:t>
      </w:r>
      <w:r w:rsidRPr="00E46640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у</w:t>
      </w:r>
      <w:r w:rsidRPr="00E46640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ществления модернизации экономики</w:t>
      </w:r>
      <w:r w:rsidR="00A0344E" w:rsidRPr="00E46640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; таблица</w:t>
      </w:r>
      <w:r w:rsidRPr="00E46640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). Реальный же инвестиционный потенциал намного выше и уменьшается, главным образом, чрезмерными величинами чистого экспорта и чистого вывоза капитала. Чистое кредитование других стран в 2015 г. достигло величины в 4,2 </w:t>
      </w:r>
      <w:r w:rsidRPr="00E46640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lastRenderedPageBreak/>
        <w:t xml:space="preserve">трлн. руб., или 5,3% ВВП. </w:t>
      </w:r>
      <w:r w:rsidR="00A0344E" w:rsidRPr="00E46640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Это снижает валовое накопление на 10-15% от возможностей, выт</w:t>
      </w:r>
      <w:r w:rsidR="00A0344E" w:rsidRPr="00E46640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е</w:t>
      </w:r>
      <w:r w:rsidR="00A0344E" w:rsidRPr="00E46640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кающих из объемов сбережений. Экономика испытывает недостаток инвестиций.</w:t>
      </w:r>
    </w:p>
    <w:p w:rsidR="00A0344E" w:rsidRPr="00A0014C" w:rsidRDefault="00A0344E" w:rsidP="00A0014C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Таблица</w:t>
      </w:r>
      <w:r w:rsid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Структура использования ВВП и финансового потенциала накопления, %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3"/>
        <w:gridCol w:w="946"/>
        <w:gridCol w:w="946"/>
        <w:gridCol w:w="1096"/>
        <w:gridCol w:w="1096"/>
        <w:gridCol w:w="1127"/>
      </w:tblGrid>
      <w:tr w:rsidR="00A0344E" w:rsidRPr="00A0344E" w:rsidTr="00E67FDF">
        <w:trPr>
          <w:trHeight w:val="45"/>
        </w:trPr>
        <w:tc>
          <w:tcPr>
            <w:tcW w:w="2356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Показатель</w:t>
            </w:r>
          </w:p>
        </w:tc>
        <w:tc>
          <w:tcPr>
            <w:tcW w:w="48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2014 г.</w:t>
            </w:r>
          </w:p>
        </w:tc>
        <w:tc>
          <w:tcPr>
            <w:tcW w:w="48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2015 г. (оценка)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2016 г.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2017 г.</w:t>
            </w:r>
          </w:p>
        </w:tc>
        <w:tc>
          <w:tcPr>
            <w:tcW w:w="5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2018 г.</w:t>
            </w:r>
          </w:p>
        </w:tc>
      </w:tr>
      <w:tr w:rsidR="00A0344E" w:rsidRPr="00A0344E" w:rsidTr="00E67FDF">
        <w:tc>
          <w:tcPr>
            <w:tcW w:w="235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48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48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68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Прогноз</w:t>
            </w:r>
          </w:p>
        </w:tc>
      </w:tr>
      <w:tr w:rsidR="00A0344E" w:rsidRPr="00A0344E" w:rsidTr="00E67FDF">
        <w:tc>
          <w:tcPr>
            <w:tcW w:w="23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ВВП использованный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100,0</w:t>
            </w:r>
          </w:p>
        </w:tc>
      </w:tr>
      <w:tr w:rsidR="00A0344E" w:rsidRPr="00A0344E" w:rsidTr="00E67FDF">
        <w:tc>
          <w:tcPr>
            <w:tcW w:w="23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1. Расходы на конечное потребление, в т.ч.: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73,2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73,9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73,4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72,6</w:t>
            </w:r>
          </w:p>
        </w:tc>
        <w:tc>
          <w:tcPr>
            <w:tcW w:w="5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71,5</w:t>
            </w:r>
          </w:p>
        </w:tc>
      </w:tr>
      <w:tr w:rsidR="00A0344E" w:rsidRPr="00A0344E" w:rsidTr="00E67FDF">
        <w:tc>
          <w:tcPr>
            <w:tcW w:w="23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домашних хозяйств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53,3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54,5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54,4</w:t>
            </w:r>
          </w:p>
        </w:tc>
        <w:tc>
          <w:tcPr>
            <w:tcW w:w="5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54,1</w:t>
            </w:r>
          </w:p>
        </w:tc>
      </w:tr>
      <w:tr w:rsidR="00A0344E" w:rsidRPr="00A0344E" w:rsidTr="00E67FDF">
        <w:tc>
          <w:tcPr>
            <w:tcW w:w="23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государственного управления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19,5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18,5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17,8</w:t>
            </w:r>
          </w:p>
        </w:tc>
        <w:tc>
          <w:tcPr>
            <w:tcW w:w="5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17,0</w:t>
            </w:r>
          </w:p>
        </w:tc>
      </w:tr>
      <w:tr w:rsidR="00A0344E" w:rsidRPr="00A0344E" w:rsidTr="00E67FDF">
        <w:tc>
          <w:tcPr>
            <w:tcW w:w="23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2. Валовое накопление, в т.ч.: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20,3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17,4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19,9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20,7</w:t>
            </w:r>
          </w:p>
        </w:tc>
        <w:tc>
          <w:tcPr>
            <w:tcW w:w="5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21,6</w:t>
            </w:r>
          </w:p>
        </w:tc>
      </w:tr>
      <w:tr w:rsidR="00A0344E" w:rsidRPr="00A0344E" w:rsidTr="00E67FDF">
        <w:tc>
          <w:tcPr>
            <w:tcW w:w="23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валовое накопление основного капитала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20,6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19,9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19,5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19,5</w:t>
            </w:r>
          </w:p>
        </w:tc>
        <w:tc>
          <w:tcPr>
            <w:tcW w:w="5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19,5</w:t>
            </w:r>
          </w:p>
        </w:tc>
      </w:tr>
      <w:tr w:rsidR="00A0344E" w:rsidRPr="00A0344E" w:rsidTr="00E67FDF">
        <w:tc>
          <w:tcPr>
            <w:tcW w:w="23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изменение запасов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-0,3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-2,5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1,2</w:t>
            </w:r>
          </w:p>
        </w:tc>
        <w:tc>
          <w:tcPr>
            <w:tcW w:w="5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2,1</w:t>
            </w:r>
          </w:p>
        </w:tc>
      </w:tr>
      <w:tr w:rsidR="00A0344E" w:rsidRPr="00A0344E" w:rsidTr="00E67FDF">
        <w:tc>
          <w:tcPr>
            <w:tcW w:w="23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3. Чистый экспорт, в т.ч.: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7,1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8,9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7,7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7,5</w:t>
            </w:r>
          </w:p>
        </w:tc>
        <w:tc>
          <w:tcPr>
            <w:tcW w:w="5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7,5</w:t>
            </w:r>
          </w:p>
        </w:tc>
      </w:tr>
      <w:tr w:rsidR="00A0344E" w:rsidRPr="00A0344E" w:rsidTr="00E67FDF">
        <w:tc>
          <w:tcPr>
            <w:tcW w:w="23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экспорт товаров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32,6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31,0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5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29,1</w:t>
            </w:r>
          </w:p>
        </w:tc>
      </w:tr>
      <w:tr w:rsidR="00A0344E" w:rsidRPr="00A0344E" w:rsidTr="00E67FDF">
        <w:tc>
          <w:tcPr>
            <w:tcW w:w="23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импорт товаров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23,7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23,3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22,5</w:t>
            </w:r>
          </w:p>
        </w:tc>
        <w:tc>
          <w:tcPr>
            <w:tcW w:w="5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21,6</w:t>
            </w:r>
          </w:p>
        </w:tc>
      </w:tr>
      <w:tr w:rsidR="00A0344E" w:rsidRPr="00A0344E" w:rsidTr="00E67FDF">
        <w:tc>
          <w:tcPr>
            <w:tcW w:w="23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Статистическое расхождение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-0,6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-0,2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-1,0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-0,8</w:t>
            </w:r>
          </w:p>
        </w:tc>
        <w:tc>
          <w:tcPr>
            <w:tcW w:w="5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-0,6</w:t>
            </w:r>
          </w:p>
        </w:tc>
      </w:tr>
      <w:tr w:rsidR="00A0344E" w:rsidRPr="00A0344E" w:rsidTr="00A0344E"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Справочно:</w:t>
            </w:r>
          </w:p>
        </w:tc>
      </w:tr>
      <w:tr w:rsidR="00A0344E" w:rsidRPr="00A0344E" w:rsidTr="00E67FDF">
        <w:tc>
          <w:tcPr>
            <w:tcW w:w="23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Валовое сбережение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23,8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22,7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23,6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24,8</w:t>
            </w:r>
          </w:p>
        </w:tc>
        <w:tc>
          <w:tcPr>
            <w:tcW w:w="5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26,0</w:t>
            </w:r>
          </w:p>
        </w:tc>
      </w:tr>
      <w:tr w:rsidR="00A0344E" w:rsidRPr="00A0344E" w:rsidTr="00E67FDF">
        <w:tc>
          <w:tcPr>
            <w:tcW w:w="23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Чистое кредитование (+), чистое заимствование (-)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5,3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5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44E" w:rsidRPr="00A0344E" w:rsidRDefault="00A0344E" w:rsidP="00A0344E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A0344E">
              <w:rPr>
                <w:rFonts w:ascii="Arial" w:eastAsia="Calibri" w:hAnsi="Arial" w:cs="Arial"/>
                <w:sz w:val="18"/>
                <w:szCs w:val="18"/>
                <w:lang w:eastAsia="en-US"/>
              </w:rPr>
              <w:t>4,4</w:t>
            </w:r>
          </w:p>
        </w:tc>
      </w:tr>
    </w:tbl>
    <w:p w:rsidR="00A0344E" w:rsidRPr="00A0014C" w:rsidRDefault="00A0344E" w:rsidP="00A0014C">
      <w:pPr>
        <w:spacing w:after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Источник: Росстат, Минэкономразвития.</w:t>
      </w:r>
    </w:p>
    <w:p w:rsidR="00A0344E" w:rsidRPr="00A0014C" w:rsidRDefault="00A0344E" w:rsidP="00A0344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64417" w:rsidRPr="00A0014C" w:rsidRDefault="00364417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Во-вторых, надо сказать о неэффективном использовании инвестиционного потенц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ала. Норма накопления промышленного капитала (т.е. ввод основных средств в обрабатыв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а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ющих производствах) составляет всего 1,3% ВВП (в США – 15% ВВП).</w:t>
      </w:r>
    </w:p>
    <w:p w:rsidR="00364417" w:rsidRPr="00A0014C" w:rsidRDefault="00364417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К сожалению, экономические власти не видят в этом проблемы. Судя по размеще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н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ному Минэкономразвития прогнозу, норма накопления основного капитала на ближайшие годы замораживается на уровне 19,5% ВВП.</w:t>
      </w:r>
    </w:p>
    <w:p w:rsidR="00364417" w:rsidRPr="00A0014C" w:rsidRDefault="00364417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2016 г. в российской экономике сложился уникальный набор позитивных факторов. </w:t>
      </w:r>
    </w:p>
    <w:p w:rsidR="00364417" w:rsidRPr="00A0014C" w:rsidRDefault="00364417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Во-первых, произошла адаптация экономики к новым ценовым пропорциям, обесп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е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чившая рост прибыльности большинства видов экономической деятельности. </w:t>
      </w:r>
    </w:p>
    <w:p w:rsidR="00364417" w:rsidRPr="00A0014C" w:rsidRDefault="00364417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Во-вторых, в результате спада значимая часть высокоэффективных производственных мощностей, введенных в строй в последние 5-7 лет, оказалась незагруженной. </w:t>
      </w:r>
    </w:p>
    <w:p w:rsidR="00364417" w:rsidRPr="00A0014C" w:rsidRDefault="00364417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В-третьих, численность занятых в реальном секторе из-за низких темпов высвобожд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е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ния работников соответствует более высоким параметрам выпуска, что отчасти снимает пр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блему ограничений по трудовым ресурсам и позволяет достаточно быстро наращивать объ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е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мы производства. </w:t>
      </w:r>
    </w:p>
    <w:p w:rsidR="00364417" w:rsidRPr="00A0014C" w:rsidRDefault="00364417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В-четвертых, произошло вытеснение импорта с внутреннего рынка, обеспечившее значительное пространство для расширения спроса на отечественную продукцию.</w:t>
      </w:r>
    </w:p>
    <w:p w:rsidR="00364417" w:rsidRPr="00A0014C" w:rsidRDefault="00364417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Реализовать имеющиеся возможности позволит корректировка государственной эк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номической политики. Ее основная задача на ближайшую перспективу должна заключаться в том, чтобы, опираясь на внутренние источники финансирования, трансформировать име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ю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щиеся предпосылки в действующие факторы роста.</w:t>
      </w:r>
    </w:p>
    <w:p w:rsidR="00364417" w:rsidRPr="00A0014C" w:rsidRDefault="00364417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Исходя из анализа развития экономики, выявленных проблем в сфере регулирования общественного воспроизводства и имеющихся ресурсов и предпосылок восстановления эк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номического роста в России, анализа экспертных заключений (В.В. Ивантер, А.А. Широв, Е.Б. Ленчук, И.А. Погосов, С.С. Губанов, О.С. Сухарев и др.) приоритетными направлениями государственной экономической политики должно стать:</w:t>
      </w:r>
    </w:p>
    <w:p w:rsidR="00364417" w:rsidRPr="00A0014C" w:rsidRDefault="00364417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– стимулирование активности экономической деятельности в реальном секторе эк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номики; межотраслевой баланс доказывает, что реальный сектор обладает наибольшим мультипликативным эффектом и выступает локомотивом роста всей экономики:</w:t>
      </w:r>
    </w:p>
    <w:p w:rsidR="00364417" w:rsidRPr="00A0014C" w:rsidRDefault="00364417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– развитие внутреннего потребительского и инвестиционного спроса; </w:t>
      </w:r>
    </w:p>
    <w:p w:rsidR="00364417" w:rsidRPr="00A0014C" w:rsidRDefault="00364417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– переход к</w:t>
      </w:r>
      <w:r w:rsidR="00E67FDF"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инновационной модели экономики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, проведение новой наукоемкой инд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у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стриализации страны.</w:t>
      </w:r>
    </w:p>
    <w:p w:rsidR="00CE022F" w:rsidRDefault="00CE022F" w:rsidP="00CE022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E022F" w:rsidRDefault="00CE022F" w:rsidP="00CE022F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Список литературы</w:t>
      </w:r>
    </w:p>
    <w:p w:rsidR="00E67FDF" w:rsidRPr="00A0014C" w:rsidRDefault="00E67FDF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1. Восстановление экономического роста в России: научный доклад / Руководитель и отв. редактор: академик В.В. Ивантер. – М., 2016. – 32 с.</w:t>
      </w:r>
    </w:p>
    <w:p w:rsidR="00E67FDF" w:rsidRPr="00A0014C" w:rsidRDefault="00E67FDF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2. Губанов С. Трудовая парадигма: А. Смит против «неоклассики» // Экономист. 2009. № 3.</w:t>
      </w:r>
    </w:p>
    <w:p w:rsidR="00E67FDF" w:rsidRPr="00A0014C" w:rsidRDefault="00E67FDF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3. Губанов, С. Неоиндустриализация плюс вертикальная интеграция (о формуле ра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з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вития России) [Текст] / С. Губанов // Экономист. – 2008. – № 9. – С. 3-27.</w:t>
      </w:r>
    </w:p>
    <w:p w:rsidR="00E67FDF" w:rsidRPr="00A0014C" w:rsidRDefault="00E67FDF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4. Леонтьев, В.В. Межотраслевая экономика [Текст] / В.В. Леонтьев. – М.: Экономика, 1997. 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softHyphen/>
        <w:t xml:space="preserve">– 479 с. </w:t>
      </w:r>
    </w:p>
    <w:p w:rsidR="00E67FDF" w:rsidRPr="00A0014C" w:rsidRDefault="00E67FDF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5. Новая индустриализация как условие формирования инновационной модели разв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тия российской экономики: научный доклад / Руководитель темы – Е.Б. Ленчук. –  М.: И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н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ститут экономики РАН, 2014. – 58 с. </w:t>
      </w:r>
    </w:p>
    <w:p w:rsidR="00377F37" w:rsidRPr="00A0014C" w:rsidRDefault="00E67FDF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6. Новая экономическая политика – политика экономического роста [Электронный р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е</w:t>
      </w:r>
      <w:r w:rsidRPr="00A0014C">
        <w:rPr>
          <w:rFonts w:ascii="Times New Roman" w:eastAsia="Calibri" w:hAnsi="Times New Roman" w:cs="Times New Roman"/>
          <w:sz w:val="24"/>
          <w:szCs w:val="24"/>
          <w:lang w:eastAsia="en-US"/>
        </w:rPr>
        <w:t>сурс] / В.В. Ивантер. – Режим доступа: http://viperson.ru/data/201305/klmjcjbljjujsjtljtjcjb.pdf</w:t>
      </w:r>
    </w:p>
    <w:p w:rsidR="00A0014C" w:rsidRPr="00A0014C" w:rsidRDefault="00A0014C" w:rsidP="00A001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E022F" w:rsidRPr="00915E8C" w:rsidRDefault="00CE022F" w:rsidP="00CE022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15E8C">
        <w:rPr>
          <w:rFonts w:ascii="Times New Roman" w:eastAsia="Calibri" w:hAnsi="Times New Roman" w:cs="Times New Roman"/>
          <w:b/>
          <w:sz w:val="24"/>
          <w:szCs w:val="24"/>
        </w:rPr>
        <w:t>Информация об авторе (-ах) на русском языке</w:t>
      </w:r>
    </w:p>
    <w:p w:rsidR="00A0014C" w:rsidRPr="00E46640" w:rsidRDefault="00CE022F" w:rsidP="00E4664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Лукин Евгений Владимирович – кандидат экономических наук, з</w:t>
      </w:r>
      <w:r w:rsidR="00E46640">
        <w:rPr>
          <w:rFonts w:ascii="Times New Roman" w:hAnsi="Times New Roman" w:cs="Times New Roman"/>
          <w:sz w:val="24"/>
          <w:szCs w:val="24"/>
        </w:rPr>
        <w:t>аместитель заведу</w:t>
      </w:r>
      <w:r w:rsidR="00E46640">
        <w:rPr>
          <w:rFonts w:ascii="Times New Roman" w:hAnsi="Times New Roman" w:cs="Times New Roman"/>
          <w:sz w:val="24"/>
          <w:szCs w:val="24"/>
        </w:rPr>
        <w:t>ю</w:t>
      </w:r>
      <w:r w:rsidR="00E46640">
        <w:rPr>
          <w:rFonts w:ascii="Times New Roman" w:hAnsi="Times New Roman" w:cs="Times New Roman"/>
          <w:sz w:val="24"/>
          <w:szCs w:val="24"/>
        </w:rPr>
        <w:t xml:space="preserve">щего </w:t>
      </w:r>
      <w:r w:rsidRPr="00A0014C">
        <w:rPr>
          <w:rFonts w:ascii="Times New Roman" w:hAnsi="Times New Roman" w:cs="Times New Roman"/>
          <w:sz w:val="24"/>
          <w:szCs w:val="24"/>
        </w:rPr>
        <w:t>отделом</w:t>
      </w:r>
      <w:r w:rsidR="00E46640" w:rsidRPr="00E46640">
        <w:rPr>
          <w:rFonts w:ascii="Times New Roman" w:hAnsi="Times New Roman" w:cs="Times New Roman"/>
          <w:sz w:val="24"/>
          <w:szCs w:val="24"/>
        </w:rPr>
        <w:t xml:space="preserve"> </w:t>
      </w:r>
      <w:r w:rsidR="00E46640">
        <w:rPr>
          <w:rFonts w:ascii="Times New Roman" w:hAnsi="Times New Roman" w:cs="Times New Roman"/>
          <w:sz w:val="24"/>
          <w:szCs w:val="24"/>
        </w:rPr>
        <w:t>проблем социально-экономического развития и управления в территориальных системах</w:t>
      </w:r>
      <w:r w:rsidRPr="00A0014C">
        <w:rPr>
          <w:rFonts w:ascii="Times New Roman" w:hAnsi="Times New Roman" w:cs="Times New Roman"/>
          <w:sz w:val="24"/>
          <w:szCs w:val="24"/>
        </w:rPr>
        <w:t>, зав</w:t>
      </w:r>
      <w:r w:rsidR="00E46640">
        <w:rPr>
          <w:rFonts w:ascii="Times New Roman" w:hAnsi="Times New Roman" w:cs="Times New Roman"/>
          <w:sz w:val="24"/>
          <w:szCs w:val="24"/>
        </w:rPr>
        <w:t>едующий</w:t>
      </w:r>
      <w:r w:rsidRPr="00A0014C">
        <w:rPr>
          <w:rFonts w:ascii="Times New Roman" w:hAnsi="Times New Roman" w:cs="Times New Roman"/>
          <w:sz w:val="24"/>
          <w:szCs w:val="24"/>
        </w:rPr>
        <w:t xml:space="preserve"> лабораторией</w:t>
      </w:r>
      <w:r w:rsidR="00E46640">
        <w:rPr>
          <w:rFonts w:ascii="Times New Roman" w:hAnsi="Times New Roman" w:cs="Times New Roman"/>
          <w:sz w:val="24"/>
          <w:szCs w:val="24"/>
        </w:rPr>
        <w:t xml:space="preserve"> моделирования и прогнозирования социально-экономического развития территорий </w:t>
      </w:r>
      <w:r w:rsidR="00E46640" w:rsidRPr="00E46640">
        <w:rPr>
          <w:rFonts w:ascii="Times New Roman" w:hAnsi="Times New Roman" w:cs="Times New Roman"/>
          <w:sz w:val="24"/>
          <w:szCs w:val="24"/>
        </w:rPr>
        <w:t>Институт</w:t>
      </w:r>
      <w:r w:rsidR="00E46640">
        <w:rPr>
          <w:rFonts w:ascii="Times New Roman" w:hAnsi="Times New Roman" w:cs="Times New Roman"/>
          <w:sz w:val="24"/>
          <w:szCs w:val="24"/>
        </w:rPr>
        <w:t>а</w:t>
      </w:r>
      <w:r w:rsidR="00E46640" w:rsidRPr="00E46640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терр</w:t>
      </w:r>
      <w:r w:rsidR="00E46640" w:rsidRPr="00E46640">
        <w:rPr>
          <w:rFonts w:ascii="Times New Roman" w:hAnsi="Times New Roman" w:cs="Times New Roman"/>
          <w:sz w:val="24"/>
          <w:szCs w:val="24"/>
        </w:rPr>
        <w:t>и</w:t>
      </w:r>
      <w:r w:rsidR="00E46640" w:rsidRPr="00E46640">
        <w:rPr>
          <w:rFonts w:ascii="Times New Roman" w:hAnsi="Times New Roman" w:cs="Times New Roman"/>
          <w:sz w:val="24"/>
          <w:szCs w:val="24"/>
        </w:rPr>
        <w:t>торий РАН</w:t>
      </w:r>
      <w:r w:rsidR="00E46640">
        <w:rPr>
          <w:rFonts w:ascii="Times New Roman" w:hAnsi="Times New Roman" w:cs="Times New Roman"/>
          <w:sz w:val="24"/>
          <w:szCs w:val="24"/>
        </w:rPr>
        <w:t xml:space="preserve"> (г. Вологда, ул. Горького, 56А, </w:t>
      </w:r>
      <w:r w:rsidR="00E46640">
        <w:rPr>
          <w:rFonts w:ascii="Times New Roman" w:hAnsi="Times New Roman" w:cs="Times New Roman"/>
          <w:sz w:val="24"/>
          <w:szCs w:val="24"/>
          <w:lang w:val="en-US"/>
        </w:rPr>
        <w:t>lukin</w:t>
      </w:r>
      <w:r w:rsidR="00E46640" w:rsidRPr="00E46640">
        <w:rPr>
          <w:rFonts w:ascii="Times New Roman" w:hAnsi="Times New Roman" w:cs="Times New Roman"/>
          <w:sz w:val="24"/>
          <w:szCs w:val="24"/>
        </w:rPr>
        <w:t>_</w:t>
      </w:r>
      <w:r w:rsidR="00E46640">
        <w:rPr>
          <w:rFonts w:ascii="Times New Roman" w:hAnsi="Times New Roman" w:cs="Times New Roman"/>
          <w:sz w:val="24"/>
          <w:szCs w:val="24"/>
          <w:lang w:val="en-US"/>
        </w:rPr>
        <w:t>ev</w:t>
      </w:r>
      <w:r w:rsidR="00E46640" w:rsidRPr="00E46640">
        <w:rPr>
          <w:rFonts w:ascii="Times New Roman" w:hAnsi="Times New Roman" w:cs="Times New Roman"/>
          <w:sz w:val="24"/>
          <w:szCs w:val="24"/>
        </w:rPr>
        <w:t>@</w:t>
      </w:r>
      <w:r w:rsidR="00E46640">
        <w:rPr>
          <w:rFonts w:ascii="Times New Roman" w:hAnsi="Times New Roman" w:cs="Times New Roman"/>
          <w:sz w:val="24"/>
          <w:szCs w:val="24"/>
          <w:lang w:val="en-US"/>
        </w:rPr>
        <w:t>list</w:t>
      </w:r>
      <w:r w:rsidR="00E46640" w:rsidRPr="00E46640">
        <w:rPr>
          <w:rFonts w:ascii="Times New Roman" w:hAnsi="Times New Roman" w:cs="Times New Roman"/>
          <w:sz w:val="24"/>
          <w:szCs w:val="24"/>
        </w:rPr>
        <w:t>.</w:t>
      </w:r>
      <w:r w:rsidR="00E46640">
        <w:rPr>
          <w:rFonts w:ascii="Times New Roman" w:hAnsi="Times New Roman" w:cs="Times New Roman"/>
          <w:sz w:val="24"/>
          <w:szCs w:val="24"/>
          <w:lang w:val="en-US"/>
        </w:rPr>
        <w:t>tu</w:t>
      </w:r>
      <w:r w:rsidR="00E46640">
        <w:rPr>
          <w:rFonts w:ascii="Times New Roman" w:hAnsi="Times New Roman" w:cs="Times New Roman"/>
          <w:sz w:val="24"/>
          <w:szCs w:val="24"/>
        </w:rPr>
        <w:t>)</w:t>
      </w:r>
    </w:p>
    <w:sectPr w:rsidR="00A0014C" w:rsidRPr="00E46640" w:rsidSect="00EF4C3C">
      <w:footerReference w:type="default" r:id="rId1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563" w:rsidRDefault="00873563" w:rsidP="00EF4C3C">
      <w:pPr>
        <w:spacing w:after="0" w:line="240" w:lineRule="auto"/>
      </w:pPr>
      <w:r>
        <w:separator/>
      </w:r>
    </w:p>
  </w:endnote>
  <w:endnote w:type="continuationSeparator" w:id="0">
    <w:p w:rsidR="00873563" w:rsidRDefault="00873563" w:rsidP="00EF4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2111148"/>
      <w:docPartObj>
        <w:docPartGallery w:val="Page Numbers (Bottom of Page)"/>
        <w:docPartUnique/>
      </w:docPartObj>
    </w:sdtPr>
    <w:sdtEndPr/>
    <w:sdtContent>
      <w:p w:rsidR="00873563" w:rsidRDefault="00873563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545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563" w:rsidRDefault="00873563" w:rsidP="00EF4C3C">
      <w:pPr>
        <w:spacing w:after="0" w:line="240" w:lineRule="auto"/>
      </w:pPr>
      <w:r>
        <w:separator/>
      </w:r>
    </w:p>
  </w:footnote>
  <w:footnote w:type="continuationSeparator" w:id="0">
    <w:p w:rsidR="00873563" w:rsidRDefault="00873563" w:rsidP="00EF4C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E5707"/>
    <w:multiLevelType w:val="hybridMultilevel"/>
    <w:tmpl w:val="FA4C0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824778"/>
    <w:multiLevelType w:val="hybridMultilevel"/>
    <w:tmpl w:val="FC1A1A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3D0E90"/>
    <w:multiLevelType w:val="hybridMultilevel"/>
    <w:tmpl w:val="9DA680AC"/>
    <w:lvl w:ilvl="0" w:tplc="2824743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484C5871"/>
    <w:multiLevelType w:val="hybridMultilevel"/>
    <w:tmpl w:val="492EEABE"/>
    <w:lvl w:ilvl="0" w:tplc="2824743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C184031"/>
    <w:multiLevelType w:val="hybridMultilevel"/>
    <w:tmpl w:val="B930D40C"/>
    <w:lvl w:ilvl="0" w:tplc="28247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C3C"/>
    <w:rsid w:val="0003290A"/>
    <w:rsid w:val="00043A89"/>
    <w:rsid w:val="0018070F"/>
    <w:rsid w:val="001F3424"/>
    <w:rsid w:val="00257F59"/>
    <w:rsid w:val="00283AF8"/>
    <w:rsid w:val="002D731C"/>
    <w:rsid w:val="0030718F"/>
    <w:rsid w:val="00343E1D"/>
    <w:rsid w:val="003469A5"/>
    <w:rsid w:val="00346BD8"/>
    <w:rsid w:val="00364417"/>
    <w:rsid w:val="00377F37"/>
    <w:rsid w:val="00394FDC"/>
    <w:rsid w:val="003A2908"/>
    <w:rsid w:val="003F2FDE"/>
    <w:rsid w:val="00401820"/>
    <w:rsid w:val="00480087"/>
    <w:rsid w:val="00556482"/>
    <w:rsid w:val="005743A1"/>
    <w:rsid w:val="00636B11"/>
    <w:rsid w:val="00665453"/>
    <w:rsid w:val="00776BBB"/>
    <w:rsid w:val="00795D48"/>
    <w:rsid w:val="00797BF3"/>
    <w:rsid w:val="007F3C51"/>
    <w:rsid w:val="007F3FB5"/>
    <w:rsid w:val="00873563"/>
    <w:rsid w:val="008C5809"/>
    <w:rsid w:val="00957838"/>
    <w:rsid w:val="00975BF1"/>
    <w:rsid w:val="009D279D"/>
    <w:rsid w:val="00A0014C"/>
    <w:rsid w:val="00A0344E"/>
    <w:rsid w:val="00A36F0E"/>
    <w:rsid w:val="00A50753"/>
    <w:rsid w:val="00AA25D1"/>
    <w:rsid w:val="00B933DB"/>
    <w:rsid w:val="00C24A5F"/>
    <w:rsid w:val="00C91731"/>
    <w:rsid w:val="00CE022F"/>
    <w:rsid w:val="00DA2EB5"/>
    <w:rsid w:val="00E0018A"/>
    <w:rsid w:val="00E120CD"/>
    <w:rsid w:val="00E46640"/>
    <w:rsid w:val="00E67FDF"/>
    <w:rsid w:val="00E86880"/>
    <w:rsid w:val="00EB5D60"/>
    <w:rsid w:val="00EC278C"/>
    <w:rsid w:val="00EF4C3C"/>
    <w:rsid w:val="00F847D6"/>
    <w:rsid w:val="00FE1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F4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F4C3C"/>
  </w:style>
  <w:style w:type="paragraph" w:styleId="a5">
    <w:name w:val="footer"/>
    <w:basedOn w:val="a"/>
    <w:link w:val="a6"/>
    <w:uiPriority w:val="99"/>
    <w:unhideWhenUsed/>
    <w:rsid w:val="00EF4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F4C3C"/>
  </w:style>
  <w:style w:type="paragraph" w:styleId="a7">
    <w:name w:val="footnote text"/>
    <w:aliases w:val="Table_Footnote_last Знак,Table_Footnote_last Знак Знак,Table_Footnote_last"/>
    <w:basedOn w:val="a"/>
    <w:link w:val="a8"/>
    <w:unhideWhenUsed/>
    <w:rsid w:val="00776BB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aliases w:val="Table_Footnote_last Знак Знак1,Table_Footnote_last Знак Знак Знак,Table_Footnote_last Знак1"/>
    <w:basedOn w:val="a0"/>
    <w:link w:val="a7"/>
    <w:rsid w:val="00776BBB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776BBB"/>
    <w:rPr>
      <w:vertAlign w:val="superscript"/>
    </w:rPr>
  </w:style>
  <w:style w:type="character" w:styleId="aa">
    <w:name w:val="Hyperlink"/>
    <w:rsid w:val="00A36F0E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A36F0E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64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64417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A03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F4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F4C3C"/>
  </w:style>
  <w:style w:type="paragraph" w:styleId="a5">
    <w:name w:val="footer"/>
    <w:basedOn w:val="a"/>
    <w:link w:val="a6"/>
    <w:uiPriority w:val="99"/>
    <w:unhideWhenUsed/>
    <w:rsid w:val="00EF4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F4C3C"/>
  </w:style>
  <w:style w:type="paragraph" w:styleId="a7">
    <w:name w:val="footnote text"/>
    <w:aliases w:val="Table_Footnote_last Знак,Table_Footnote_last Знак Знак,Table_Footnote_last"/>
    <w:basedOn w:val="a"/>
    <w:link w:val="a8"/>
    <w:unhideWhenUsed/>
    <w:rsid w:val="00776BB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aliases w:val="Table_Footnote_last Знак Знак1,Table_Footnote_last Знак Знак Знак,Table_Footnote_last Знак1"/>
    <w:basedOn w:val="a0"/>
    <w:link w:val="a7"/>
    <w:rsid w:val="00776BBB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776BBB"/>
    <w:rPr>
      <w:vertAlign w:val="superscript"/>
    </w:rPr>
  </w:style>
  <w:style w:type="character" w:styleId="aa">
    <w:name w:val="Hyperlink"/>
    <w:rsid w:val="00A36F0E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A36F0E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64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64417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A03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6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chart" Target="charts/chart10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10" Type="http://schemas.openxmlformats.org/officeDocument/2006/relationships/chart" Target="charts/chart2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2.bin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3.bin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4.bin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5.bin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6.bin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7.bin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8.bin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9.bin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'[Поквартальеная статистика РФ 2007-н.в.xlsx]Лист1'!$B$4</c:f>
              <c:strCache>
                <c:ptCount val="1"/>
                <c:pt idx="0">
                  <c:v>ВВП</c:v>
                </c:pt>
              </c:strCache>
            </c:strRef>
          </c:tx>
          <c:spPr>
            <a:ln w="31750">
              <a:solidFill>
                <a:srgbClr val="0070C0"/>
              </a:solidFill>
            </a:ln>
          </c:spPr>
          <c:marker>
            <c:symbol val="none"/>
          </c:marker>
          <c:cat>
            <c:multiLvlStrRef>
              <c:f>'[Поквартальеная статистика РФ 2007-н.в.xlsx]Лист1'!$C$2:$AP$3</c:f>
              <c:multiLvlStrCache>
                <c:ptCount val="40"/>
                <c:lvl>
                  <c:pt idx="0">
                    <c:v>I кв.</c:v>
                  </c:pt>
                  <c:pt idx="1">
                    <c:v>II кв.</c:v>
                  </c:pt>
                  <c:pt idx="2">
                    <c:v>III кв.</c:v>
                  </c:pt>
                  <c:pt idx="3">
                    <c:v>IV кв.</c:v>
                  </c:pt>
                  <c:pt idx="4">
                    <c:v>I кв.</c:v>
                  </c:pt>
                  <c:pt idx="5">
                    <c:v>II кв.</c:v>
                  </c:pt>
                  <c:pt idx="6">
                    <c:v>III кв.</c:v>
                  </c:pt>
                  <c:pt idx="7">
                    <c:v>IV кв.</c:v>
                  </c:pt>
                  <c:pt idx="8">
                    <c:v>I кв.</c:v>
                  </c:pt>
                  <c:pt idx="9">
                    <c:v>II кв.</c:v>
                  </c:pt>
                  <c:pt idx="10">
                    <c:v>III кв.</c:v>
                  </c:pt>
                  <c:pt idx="11">
                    <c:v>IV кв.</c:v>
                  </c:pt>
                  <c:pt idx="12">
                    <c:v>I кв.</c:v>
                  </c:pt>
                  <c:pt idx="13">
                    <c:v>II кв.</c:v>
                  </c:pt>
                  <c:pt idx="14">
                    <c:v>III кв.</c:v>
                  </c:pt>
                  <c:pt idx="15">
                    <c:v>IV кв.</c:v>
                  </c:pt>
                  <c:pt idx="16">
                    <c:v>I кв.</c:v>
                  </c:pt>
                  <c:pt idx="17">
                    <c:v>II кв.</c:v>
                  </c:pt>
                  <c:pt idx="18">
                    <c:v>III кв.</c:v>
                  </c:pt>
                  <c:pt idx="19">
                    <c:v>IV кв.</c:v>
                  </c:pt>
                  <c:pt idx="20">
                    <c:v>I кв.</c:v>
                  </c:pt>
                  <c:pt idx="21">
                    <c:v>II кв.</c:v>
                  </c:pt>
                  <c:pt idx="22">
                    <c:v>III кв.</c:v>
                  </c:pt>
                  <c:pt idx="23">
                    <c:v>IV кв.</c:v>
                  </c:pt>
                  <c:pt idx="24">
                    <c:v>I кв.</c:v>
                  </c:pt>
                  <c:pt idx="25">
                    <c:v>II кв.</c:v>
                  </c:pt>
                  <c:pt idx="26">
                    <c:v>III кв.</c:v>
                  </c:pt>
                  <c:pt idx="27">
                    <c:v>IV кв.</c:v>
                  </c:pt>
                  <c:pt idx="28">
                    <c:v>I кв.</c:v>
                  </c:pt>
                  <c:pt idx="29">
                    <c:v>II кв.</c:v>
                  </c:pt>
                  <c:pt idx="30">
                    <c:v>III кв.</c:v>
                  </c:pt>
                  <c:pt idx="31">
                    <c:v>IV кв.</c:v>
                  </c:pt>
                  <c:pt idx="32">
                    <c:v>I кв.</c:v>
                  </c:pt>
                  <c:pt idx="33">
                    <c:v>II кв.</c:v>
                  </c:pt>
                  <c:pt idx="34">
                    <c:v>III кв.</c:v>
                  </c:pt>
                  <c:pt idx="35">
                    <c:v>IV кв.</c:v>
                  </c:pt>
                  <c:pt idx="36">
                    <c:v>I кв.</c:v>
                  </c:pt>
                  <c:pt idx="37">
                    <c:v>II кв.</c:v>
                  </c:pt>
                  <c:pt idx="38">
                    <c:v>III кв.</c:v>
                  </c:pt>
                  <c:pt idx="39">
                    <c:v>IV кв.</c:v>
                  </c:pt>
                </c:lvl>
                <c:lvl>
                  <c:pt idx="0">
                    <c:v>2007 г.</c:v>
                  </c:pt>
                  <c:pt idx="4">
                    <c:v>2008 г.</c:v>
                  </c:pt>
                  <c:pt idx="8">
                    <c:v>2009 г.</c:v>
                  </c:pt>
                  <c:pt idx="12">
                    <c:v>2010 г.</c:v>
                  </c:pt>
                  <c:pt idx="16">
                    <c:v>2011 г.</c:v>
                  </c:pt>
                  <c:pt idx="20">
                    <c:v>2012 г.</c:v>
                  </c:pt>
                  <c:pt idx="24">
                    <c:v>2013 г.</c:v>
                  </c:pt>
                  <c:pt idx="28">
                    <c:v>2014 г.</c:v>
                  </c:pt>
                  <c:pt idx="32">
                    <c:v>2015 г.</c:v>
                  </c:pt>
                  <c:pt idx="36">
                    <c:v>2016 г.</c:v>
                  </c:pt>
                </c:lvl>
              </c:multiLvlStrCache>
            </c:multiLvlStrRef>
          </c:cat>
          <c:val>
            <c:numRef>
              <c:f>'[Поквартальеная статистика РФ 2007-н.в.xlsx]Лист1'!$C$4:$AQ$4</c:f>
              <c:numCache>
                <c:formatCode>0.0</c:formatCode>
                <c:ptCount val="41"/>
                <c:pt idx="0">
                  <c:v>108.06986998210704</c:v>
                </c:pt>
                <c:pt idx="1">
                  <c:v>108.61816560660817</c:v>
                </c:pt>
                <c:pt idx="2">
                  <c:v>108.17254450734508</c:v>
                </c:pt>
                <c:pt idx="3">
                  <c:v>109.18554283138751</c:v>
                </c:pt>
                <c:pt idx="4">
                  <c:v>109.17578786779613</c:v>
                </c:pt>
                <c:pt idx="5">
                  <c:v>107.90134398055939</c:v>
                </c:pt>
                <c:pt idx="6">
                  <c:v>106.41205110411687</c:v>
                </c:pt>
                <c:pt idx="7">
                  <c:v>98.677979757048774</c:v>
                </c:pt>
                <c:pt idx="8">
                  <c:v>90.798242712760768</c:v>
                </c:pt>
                <c:pt idx="9">
                  <c:v>88.848715230079904</c:v>
                </c:pt>
                <c:pt idx="10">
                  <c:v>91.38130822691447</c:v>
                </c:pt>
                <c:pt idx="11">
                  <c:v>97.412086099096925</c:v>
                </c:pt>
                <c:pt idx="12">
                  <c:v>104.06928214803663</c:v>
                </c:pt>
                <c:pt idx="13">
                  <c:v>105.00021526624339</c:v>
                </c:pt>
                <c:pt idx="14">
                  <c:v>103.82626473515654</c:v>
                </c:pt>
                <c:pt idx="15">
                  <c:v>105.08005307206467</c:v>
                </c:pt>
                <c:pt idx="16">
                  <c:v>103.27417885140635</c:v>
                </c:pt>
                <c:pt idx="17">
                  <c:v>103.29380337510001</c:v>
                </c:pt>
                <c:pt idx="18">
                  <c:v>105.04619444747428</c:v>
                </c:pt>
                <c:pt idx="19">
                  <c:v>105.17377966381569</c:v>
                </c:pt>
                <c:pt idx="20">
                  <c:v>105.27542965168057</c:v>
                </c:pt>
                <c:pt idx="21">
                  <c:v>104.29220742620922</c:v>
                </c:pt>
                <c:pt idx="22">
                  <c:v>103.11994471718526</c:v>
                </c:pt>
                <c:pt idx="23">
                  <c:v>101.80773440428258</c:v>
                </c:pt>
                <c:pt idx="24">
                  <c:v>100.60764664151679</c:v>
                </c:pt>
                <c:pt idx="25">
                  <c:v>101.13603707758266</c:v>
                </c:pt>
                <c:pt idx="26">
                  <c:v>101.16353455644142</c:v>
                </c:pt>
                <c:pt idx="27">
                  <c:v>102.07723246275846</c:v>
                </c:pt>
                <c:pt idx="28">
                  <c:v>100.61561995094756</c:v>
                </c:pt>
                <c:pt idx="29">
                  <c:v>101.2949089419771</c:v>
                </c:pt>
                <c:pt idx="30">
                  <c:v>100.80492884256684</c:v>
                </c:pt>
                <c:pt idx="31">
                  <c:v>100.25880413182884</c:v>
                </c:pt>
                <c:pt idx="32">
                  <c:v>98.100978632490765</c:v>
                </c:pt>
                <c:pt idx="33">
                  <c:v>96.592891298548921</c:v>
                </c:pt>
                <c:pt idx="34">
                  <c:v>97.335554814701879</c:v>
                </c:pt>
                <c:pt idx="35">
                  <c:v>96.767445821431963</c:v>
                </c:pt>
                <c:pt idx="36">
                  <c:v>99.568205651463799</c:v>
                </c:pt>
                <c:pt idx="37">
                  <c:v>99.515380129048964</c:v>
                </c:pt>
                <c:pt idx="38">
                  <c:v>99.6490732253407</c:v>
                </c:pt>
                <c:pt idx="39">
                  <c:v>100.3001749151138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D6C3-4F36-A5F9-9574186E58F6}"/>
            </c:ext>
          </c:extLst>
        </c:ser>
        <c:ser>
          <c:idx val="1"/>
          <c:order val="1"/>
          <c:tx>
            <c:strRef>
              <c:f>'[Поквартальеная статистика РФ 2007-н.в.xlsx]Лист1'!$B$5</c:f>
              <c:strCache>
                <c:ptCount val="1"/>
                <c:pt idx="0">
                  <c:v>Промышленное производство</c:v>
                </c:pt>
              </c:strCache>
            </c:strRef>
          </c:tx>
          <c:spPr>
            <a:ln w="19050">
              <a:solidFill>
                <a:srgbClr val="C00000"/>
              </a:solidFill>
              <a:prstDash val="solid"/>
            </a:ln>
          </c:spPr>
          <c:marker>
            <c:symbol val="none"/>
          </c:marker>
          <c:cat>
            <c:multiLvlStrRef>
              <c:f>'[Поквартальеная статистика РФ 2007-н.в.xlsx]Лист1'!$C$2:$AP$3</c:f>
              <c:multiLvlStrCache>
                <c:ptCount val="40"/>
                <c:lvl>
                  <c:pt idx="0">
                    <c:v>I кв.</c:v>
                  </c:pt>
                  <c:pt idx="1">
                    <c:v>II кв.</c:v>
                  </c:pt>
                  <c:pt idx="2">
                    <c:v>III кв.</c:v>
                  </c:pt>
                  <c:pt idx="3">
                    <c:v>IV кв.</c:v>
                  </c:pt>
                  <c:pt idx="4">
                    <c:v>I кв.</c:v>
                  </c:pt>
                  <c:pt idx="5">
                    <c:v>II кв.</c:v>
                  </c:pt>
                  <c:pt idx="6">
                    <c:v>III кв.</c:v>
                  </c:pt>
                  <c:pt idx="7">
                    <c:v>IV кв.</c:v>
                  </c:pt>
                  <c:pt idx="8">
                    <c:v>I кв.</c:v>
                  </c:pt>
                  <c:pt idx="9">
                    <c:v>II кв.</c:v>
                  </c:pt>
                  <c:pt idx="10">
                    <c:v>III кв.</c:v>
                  </c:pt>
                  <c:pt idx="11">
                    <c:v>IV кв.</c:v>
                  </c:pt>
                  <c:pt idx="12">
                    <c:v>I кв.</c:v>
                  </c:pt>
                  <c:pt idx="13">
                    <c:v>II кв.</c:v>
                  </c:pt>
                  <c:pt idx="14">
                    <c:v>III кв.</c:v>
                  </c:pt>
                  <c:pt idx="15">
                    <c:v>IV кв.</c:v>
                  </c:pt>
                  <c:pt idx="16">
                    <c:v>I кв.</c:v>
                  </c:pt>
                  <c:pt idx="17">
                    <c:v>II кв.</c:v>
                  </c:pt>
                  <c:pt idx="18">
                    <c:v>III кв.</c:v>
                  </c:pt>
                  <c:pt idx="19">
                    <c:v>IV кв.</c:v>
                  </c:pt>
                  <c:pt idx="20">
                    <c:v>I кв.</c:v>
                  </c:pt>
                  <c:pt idx="21">
                    <c:v>II кв.</c:v>
                  </c:pt>
                  <c:pt idx="22">
                    <c:v>III кв.</c:v>
                  </c:pt>
                  <c:pt idx="23">
                    <c:v>IV кв.</c:v>
                  </c:pt>
                  <c:pt idx="24">
                    <c:v>I кв.</c:v>
                  </c:pt>
                  <c:pt idx="25">
                    <c:v>II кв.</c:v>
                  </c:pt>
                  <c:pt idx="26">
                    <c:v>III кв.</c:v>
                  </c:pt>
                  <c:pt idx="27">
                    <c:v>IV кв.</c:v>
                  </c:pt>
                  <c:pt idx="28">
                    <c:v>I кв.</c:v>
                  </c:pt>
                  <c:pt idx="29">
                    <c:v>II кв.</c:v>
                  </c:pt>
                  <c:pt idx="30">
                    <c:v>III кв.</c:v>
                  </c:pt>
                  <c:pt idx="31">
                    <c:v>IV кв.</c:v>
                  </c:pt>
                  <c:pt idx="32">
                    <c:v>I кв.</c:v>
                  </c:pt>
                  <c:pt idx="33">
                    <c:v>II кв.</c:v>
                  </c:pt>
                  <c:pt idx="34">
                    <c:v>III кв.</c:v>
                  </c:pt>
                  <c:pt idx="35">
                    <c:v>IV кв.</c:v>
                  </c:pt>
                  <c:pt idx="36">
                    <c:v>I кв.</c:v>
                  </c:pt>
                  <c:pt idx="37">
                    <c:v>II кв.</c:v>
                  </c:pt>
                  <c:pt idx="38">
                    <c:v>III кв.</c:v>
                  </c:pt>
                  <c:pt idx="39">
                    <c:v>IV кв.</c:v>
                  </c:pt>
                </c:lvl>
                <c:lvl>
                  <c:pt idx="0">
                    <c:v>2007 г.</c:v>
                  </c:pt>
                  <c:pt idx="4">
                    <c:v>2008 г.</c:v>
                  </c:pt>
                  <c:pt idx="8">
                    <c:v>2009 г.</c:v>
                  </c:pt>
                  <c:pt idx="12">
                    <c:v>2010 г.</c:v>
                  </c:pt>
                  <c:pt idx="16">
                    <c:v>2011 г.</c:v>
                  </c:pt>
                  <c:pt idx="20">
                    <c:v>2012 г.</c:v>
                  </c:pt>
                  <c:pt idx="24">
                    <c:v>2013 г.</c:v>
                  </c:pt>
                  <c:pt idx="28">
                    <c:v>2014 г.</c:v>
                  </c:pt>
                  <c:pt idx="32">
                    <c:v>2015 г.</c:v>
                  </c:pt>
                  <c:pt idx="36">
                    <c:v>2016 г.</c:v>
                  </c:pt>
                </c:lvl>
              </c:multiLvlStrCache>
            </c:multiLvlStrRef>
          </c:cat>
          <c:val>
            <c:numRef>
              <c:f>'[Поквартальеная статистика РФ 2007-н.в.xlsx]Лист1'!$C$5:$AQ$5</c:f>
              <c:numCache>
                <c:formatCode>0.0</c:formatCode>
                <c:ptCount val="41"/>
                <c:pt idx="0">
                  <c:v>107.2</c:v>
                </c:pt>
                <c:pt idx="1">
                  <c:v>107.1</c:v>
                </c:pt>
                <c:pt idx="2">
                  <c:v>105.5</c:v>
                </c:pt>
                <c:pt idx="3">
                  <c:v>105.7</c:v>
                </c:pt>
                <c:pt idx="4">
                  <c:v>106.2</c:v>
                </c:pt>
                <c:pt idx="5">
                  <c:v>105.5</c:v>
                </c:pt>
                <c:pt idx="6">
                  <c:v>104.7</c:v>
                </c:pt>
                <c:pt idx="7">
                  <c:v>93.9</c:v>
                </c:pt>
                <c:pt idx="8">
                  <c:v>84.5</c:v>
                </c:pt>
                <c:pt idx="9">
                  <c:v>86.4</c:v>
                </c:pt>
                <c:pt idx="10">
                  <c:v>90.4</c:v>
                </c:pt>
                <c:pt idx="11">
                  <c:v>101.8</c:v>
                </c:pt>
                <c:pt idx="12">
                  <c:v>109.5</c:v>
                </c:pt>
                <c:pt idx="13">
                  <c:v>110.9</c:v>
                </c:pt>
                <c:pt idx="14">
                  <c:v>106.4</c:v>
                </c:pt>
                <c:pt idx="15">
                  <c:v>106.5</c:v>
                </c:pt>
                <c:pt idx="16">
                  <c:v>105.9</c:v>
                </c:pt>
                <c:pt idx="17">
                  <c:v>104.8</c:v>
                </c:pt>
                <c:pt idx="18">
                  <c:v>105.1</c:v>
                </c:pt>
                <c:pt idx="19">
                  <c:v>103.3</c:v>
                </c:pt>
                <c:pt idx="20">
                  <c:v>104</c:v>
                </c:pt>
                <c:pt idx="21">
                  <c:v>102.3</c:v>
                </c:pt>
                <c:pt idx="22">
                  <c:v>102.5</c:v>
                </c:pt>
                <c:pt idx="23">
                  <c:v>101.7</c:v>
                </c:pt>
                <c:pt idx="24">
                  <c:v>98.8</c:v>
                </c:pt>
                <c:pt idx="25">
                  <c:v>100.8</c:v>
                </c:pt>
                <c:pt idx="26">
                  <c:v>100.6</c:v>
                </c:pt>
                <c:pt idx="27">
                  <c:v>101.4</c:v>
                </c:pt>
                <c:pt idx="28">
                  <c:v>101.1</c:v>
                </c:pt>
                <c:pt idx="29">
                  <c:v>101.8</c:v>
                </c:pt>
                <c:pt idx="30">
                  <c:v>101.5</c:v>
                </c:pt>
                <c:pt idx="31">
                  <c:v>102.1</c:v>
                </c:pt>
                <c:pt idx="32">
                  <c:v>99.6</c:v>
                </c:pt>
                <c:pt idx="33">
                  <c:v>95.1</c:v>
                </c:pt>
                <c:pt idx="34">
                  <c:v>95.8</c:v>
                </c:pt>
                <c:pt idx="35">
                  <c:v>96.1</c:v>
                </c:pt>
                <c:pt idx="36">
                  <c:v>101.1</c:v>
                </c:pt>
                <c:pt idx="37">
                  <c:v>101.5</c:v>
                </c:pt>
                <c:pt idx="38">
                  <c:v>101</c:v>
                </c:pt>
                <c:pt idx="39">
                  <c:v>101.7</c:v>
                </c:pt>
                <c:pt idx="40">
                  <c:v>100.1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1-D6C3-4F36-A5F9-9574186E58F6}"/>
            </c:ext>
          </c:extLst>
        </c:ser>
        <c:ser>
          <c:idx val="2"/>
          <c:order val="2"/>
          <c:tx>
            <c:strRef>
              <c:f>'[Поквартальеная статистика РФ 2007-н.в.xlsx]Лист1'!$B$6</c:f>
              <c:strCache>
                <c:ptCount val="1"/>
                <c:pt idx="0">
                  <c:v>Сельское хозяйство</c:v>
                </c:pt>
              </c:strCache>
            </c:strRef>
          </c:tx>
          <c:spPr>
            <a:ln w="19050">
              <a:solidFill>
                <a:srgbClr val="00B050"/>
              </a:solidFill>
              <a:prstDash val="solid"/>
            </a:ln>
          </c:spPr>
          <c:marker>
            <c:symbol val="none"/>
          </c:marker>
          <c:cat>
            <c:multiLvlStrRef>
              <c:f>'[Поквартальеная статистика РФ 2007-н.в.xlsx]Лист1'!$C$2:$AP$3</c:f>
              <c:multiLvlStrCache>
                <c:ptCount val="40"/>
                <c:lvl>
                  <c:pt idx="0">
                    <c:v>I кв.</c:v>
                  </c:pt>
                  <c:pt idx="1">
                    <c:v>II кв.</c:v>
                  </c:pt>
                  <c:pt idx="2">
                    <c:v>III кв.</c:v>
                  </c:pt>
                  <c:pt idx="3">
                    <c:v>IV кв.</c:v>
                  </c:pt>
                  <c:pt idx="4">
                    <c:v>I кв.</c:v>
                  </c:pt>
                  <c:pt idx="5">
                    <c:v>II кв.</c:v>
                  </c:pt>
                  <c:pt idx="6">
                    <c:v>III кв.</c:v>
                  </c:pt>
                  <c:pt idx="7">
                    <c:v>IV кв.</c:v>
                  </c:pt>
                  <c:pt idx="8">
                    <c:v>I кв.</c:v>
                  </c:pt>
                  <c:pt idx="9">
                    <c:v>II кв.</c:v>
                  </c:pt>
                  <c:pt idx="10">
                    <c:v>III кв.</c:v>
                  </c:pt>
                  <c:pt idx="11">
                    <c:v>IV кв.</c:v>
                  </c:pt>
                  <c:pt idx="12">
                    <c:v>I кв.</c:v>
                  </c:pt>
                  <c:pt idx="13">
                    <c:v>II кв.</c:v>
                  </c:pt>
                  <c:pt idx="14">
                    <c:v>III кв.</c:v>
                  </c:pt>
                  <c:pt idx="15">
                    <c:v>IV кв.</c:v>
                  </c:pt>
                  <c:pt idx="16">
                    <c:v>I кв.</c:v>
                  </c:pt>
                  <c:pt idx="17">
                    <c:v>II кв.</c:v>
                  </c:pt>
                  <c:pt idx="18">
                    <c:v>III кв.</c:v>
                  </c:pt>
                  <c:pt idx="19">
                    <c:v>IV кв.</c:v>
                  </c:pt>
                  <c:pt idx="20">
                    <c:v>I кв.</c:v>
                  </c:pt>
                  <c:pt idx="21">
                    <c:v>II кв.</c:v>
                  </c:pt>
                  <c:pt idx="22">
                    <c:v>III кв.</c:v>
                  </c:pt>
                  <c:pt idx="23">
                    <c:v>IV кв.</c:v>
                  </c:pt>
                  <c:pt idx="24">
                    <c:v>I кв.</c:v>
                  </c:pt>
                  <c:pt idx="25">
                    <c:v>II кв.</c:v>
                  </c:pt>
                  <c:pt idx="26">
                    <c:v>III кв.</c:v>
                  </c:pt>
                  <c:pt idx="27">
                    <c:v>IV кв.</c:v>
                  </c:pt>
                  <c:pt idx="28">
                    <c:v>I кв.</c:v>
                  </c:pt>
                  <c:pt idx="29">
                    <c:v>II кв.</c:v>
                  </c:pt>
                  <c:pt idx="30">
                    <c:v>III кв.</c:v>
                  </c:pt>
                  <c:pt idx="31">
                    <c:v>IV кв.</c:v>
                  </c:pt>
                  <c:pt idx="32">
                    <c:v>I кв.</c:v>
                  </c:pt>
                  <c:pt idx="33">
                    <c:v>II кв.</c:v>
                  </c:pt>
                  <c:pt idx="34">
                    <c:v>III кв.</c:v>
                  </c:pt>
                  <c:pt idx="35">
                    <c:v>IV кв.</c:v>
                  </c:pt>
                  <c:pt idx="36">
                    <c:v>I кв.</c:v>
                  </c:pt>
                  <c:pt idx="37">
                    <c:v>II кв.</c:v>
                  </c:pt>
                  <c:pt idx="38">
                    <c:v>III кв.</c:v>
                  </c:pt>
                  <c:pt idx="39">
                    <c:v>IV кв.</c:v>
                  </c:pt>
                </c:lvl>
                <c:lvl>
                  <c:pt idx="0">
                    <c:v>2007 г.</c:v>
                  </c:pt>
                  <c:pt idx="4">
                    <c:v>2008 г.</c:v>
                  </c:pt>
                  <c:pt idx="8">
                    <c:v>2009 г.</c:v>
                  </c:pt>
                  <c:pt idx="12">
                    <c:v>2010 г.</c:v>
                  </c:pt>
                  <c:pt idx="16">
                    <c:v>2011 г.</c:v>
                  </c:pt>
                  <c:pt idx="20">
                    <c:v>2012 г.</c:v>
                  </c:pt>
                  <c:pt idx="24">
                    <c:v>2013 г.</c:v>
                  </c:pt>
                  <c:pt idx="28">
                    <c:v>2014 г.</c:v>
                  </c:pt>
                  <c:pt idx="32">
                    <c:v>2015 г.</c:v>
                  </c:pt>
                  <c:pt idx="36">
                    <c:v>2016 г.</c:v>
                  </c:pt>
                </c:lvl>
              </c:multiLvlStrCache>
            </c:multiLvlStrRef>
          </c:cat>
          <c:val>
            <c:numRef>
              <c:f>'[Поквартальеная статистика РФ 2007-н.в.xlsx]Лист1'!$C$6:$AQ$6</c:f>
              <c:numCache>
                <c:formatCode>0.0</c:formatCode>
                <c:ptCount val="41"/>
                <c:pt idx="0">
                  <c:v>103.4</c:v>
                </c:pt>
                <c:pt idx="1">
                  <c:v>104.3</c:v>
                </c:pt>
                <c:pt idx="2">
                  <c:v>103</c:v>
                </c:pt>
                <c:pt idx="3">
                  <c:v>103.1</c:v>
                </c:pt>
                <c:pt idx="4">
                  <c:v>105.5</c:v>
                </c:pt>
                <c:pt idx="5">
                  <c:v>106.9</c:v>
                </c:pt>
                <c:pt idx="6">
                  <c:v>113</c:v>
                </c:pt>
                <c:pt idx="7">
                  <c:v>111.3</c:v>
                </c:pt>
                <c:pt idx="8">
                  <c:v>102.2</c:v>
                </c:pt>
                <c:pt idx="9">
                  <c:v>100.7</c:v>
                </c:pt>
                <c:pt idx="10">
                  <c:v>98.9</c:v>
                </c:pt>
                <c:pt idx="11">
                  <c:v>105.1</c:v>
                </c:pt>
                <c:pt idx="12">
                  <c:v>100.5</c:v>
                </c:pt>
                <c:pt idx="13">
                  <c:v>98.7</c:v>
                </c:pt>
                <c:pt idx="14">
                  <c:v>79.2</c:v>
                </c:pt>
                <c:pt idx="15">
                  <c:v>96.2</c:v>
                </c:pt>
                <c:pt idx="16">
                  <c:v>101.7</c:v>
                </c:pt>
                <c:pt idx="17">
                  <c:v>101.6</c:v>
                </c:pt>
                <c:pt idx="18">
                  <c:v>129.69999999999999</c:v>
                </c:pt>
                <c:pt idx="19">
                  <c:v>134</c:v>
                </c:pt>
                <c:pt idx="20">
                  <c:v>104</c:v>
                </c:pt>
                <c:pt idx="21">
                  <c:v>104.3</c:v>
                </c:pt>
                <c:pt idx="22">
                  <c:v>94</c:v>
                </c:pt>
                <c:pt idx="23">
                  <c:v>89.4</c:v>
                </c:pt>
                <c:pt idx="24">
                  <c:v>101.4</c:v>
                </c:pt>
                <c:pt idx="25">
                  <c:v>100.9</c:v>
                </c:pt>
                <c:pt idx="26">
                  <c:v>103</c:v>
                </c:pt>
                <c:pt idx="27">
                  <c:v>114.8</c:v>
                </c:pt>
                <c:pt idx="28">
                  <c:v>102.3</c:v>
                </c:pt>
                <c:pt idx="29">
                  <c:v>103.1</c:v>
                </c:pt>
                <c:pt idx="30">
                  <c:v>111</c:v>
                </c:pt>
                <c:pt idx="31">
                  <c:v>94.3</c:v>
                </c:pt>
                <c:pt idx="32">
                  <c:v>103</c:v>
                </c:pt>
                <c:pt idx="33">
                  <c:v>101.9</c:v>
                </c:pt>
                <c:pt idx="34">
                  <c:v>101.5</c:v>
                </c:pt>
                <c:pt idx="35">
                  <c:v>104.6</c:v>
                </c:pt>
                <c:pt idx="36">
                  <c:v>103.6</c:v>
                </c:pt>
                <c:pt idx="37">
                  <c:v>103.3</c:v>
                </c:pt>
                <c:pt idx="38">
                  <c:v>105.6</c:v>
                </c:pt>
                <c:pt idx="39">
                  <c:v>105</c:v>
                </c:pt>
                <c:pt idx="40">
                  <c:v>100.7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2-D6C3-4F36-A5F9-9574186E58F6}"/>
            </c:ext>
          </c:extLst>
        </c:ser>
        <c:ser>
          <c:idx val="3"/>
          <c:order val="3"/>
          <c:tx>
            <c:strRef>
              <c:f>'[Поквартальеная статистика РФ 2007-н.в.xlsx]Лист1'!$B$7</c:f>
              <c:strCache>
                <c:ptCount val="1"/>
                <c:pt idx="0">
                  <c:v>Грузооборот транспорта</c:v>
                </c:pt>
              </c:strCache>
            </c:strRef>
          </c:tx>
          <c:spPr>
            <a:ln w="19050">
              <a:solidFill>
                <a:schemeClr val="tx1"/>
              </a:solidFill>
              <a:prstDash val="solid"/>
            </a:ln>
          </c:spPr>
          <c:marker>
            <c:symbol val="none"/>
          </c:marker>
          <c:cat>
            <c:multiLvlStrRef>
              <c:f>'[Поквартальеная статистика РФ 2007-н.в.xlsx]Лист1'!$C$2:$AP$3</c:f>
              <c:multiLvlStrCache>
                <c:ptCount val="40"/>
                <c:lvl>
                  <c:pt idx="0">
                    <c:v>I кв.</c:v>
                  </c:pt>
                  <c:pt idx="1">
                    <c:v>II кв.</c:v>
                  </c:pt>
                  <c:pt idx="2">
                    <c:v>III кв.</c:v>
                  </c:pt>
                  <c:pt idx="3">
                    <c:v>IV кв.</c:v>
                  </c:pt>
                  <c:pt idx="4">
                    <c:v>I кв.</c:v>
                  </c:pt>
                  <c:pt idx="5">
                    <c:v>II кв.</c:v>
                  </c:pt>
                  <c:pt idx="6">
                    <c:v>III кв.</c:v>
                  </c:pt>
                  <c:pt idx="7">
                    <c:v>IV кв.</c:v>
                  </c:pt>
                  <c:pt idx="8">
                    <c:v>I кв.</c:v>
                  </c:pt>
                  <c:pt idx="9">
                    <c:v>II кв.</c:v>
                  </c:pt>
                  <c:pt idx="10">
                    <c:v>III кв.</c:v>
                  </c:pt>
                  <c:pt idx="11">
                    <c:v>IV кв.</c:v>
                  </c:pt>
                  <c:pt idx="12">
                    <c:v>I кв.</c:v>
                  </c:pt>
                  <c:pt idx="13">
                    <c:v>II кв.</c:v>
                  </c:pt>
                  <c:pt idx="14">
                    <c:v>III кв.</c:v>
                  </c:pt>
                  <c:pt idx="15">
                    <c:v>IV кв.</c:v>
                  </c:pt>
                  <c:pt idx="16">
                    <c:v>I кв.</c:v>
                  </c:pt>
                  <c:pt idx="17">
                    <c:v>II кв.</c:v>
                  </c:pt>
                  <c:pt idx="18">
                    <c:v>III кв.</c:v>
                  </c:pt>
                  <c:pt idx="19">
                    <c:v>IV кв.</c:v>
                  </c:pt>
                  <c:pt idx="20">
                    <c:v>I кв.</c:v>
                  </c:pt>
                  <c:pt idx="21">
                    <c:v>II кв.</c:v>
                  </c:pt>
                  <c:pt idx="22">
                    <c:v>III кв.</c:v>
                  </c:pt>
                  <c:pt idx="23">
                    <c:v>IV кв.</c:v>
                  </c:pt>
                  <c:pt idx="24">
                    <c:v>I кв.</c:v>
                  </c:pt>
                  <c:pt idx="25">
                    <c:v>II кв.</c:v>
                  </c:pt>
                  <c:pt idx="26">
                    <c:v>III кв.</c:v>
                  </c:pt>
                  <c:pt idx="27">
                    <c:v>IV кв.</c:v>
                  </c:pt>
                  <c:pt idx="28">
                    <c:v>I кв.</c:v>
                  </c:pt>
                  <c:pt idx="29">
                    <c:v>II кв.</c:v>
                  </c:pt>
                  <c:pt idx="30">
                    <c:v>III кв.</c:v>
                  </c:pt>
                  <c:pt idx="31">
                    <c:v>IV кв.</c:v>
                  </c:pt>
                  <c:pt idx="32">
                    <c:v>I кв.</c:v>
                  </c:pt>
                  <c:pt idx="33">
                    <c:v>II кв.</c:v>
                  </c:pt>
                  <c:pt idx="34">
                    <c:v>III кв.</c:v>
                  </c:pt>
                  <c:pt idx="35">
                    <c:v>IV кв.</c:v>
                  </c:pt>
                  <c:pt idx="36">
                    <c:v>I кв.</c:v>
                  </c:pt>
                  <c:pt idx="37">
                    <c:v>II кв.</c:v>
                  </c:pt>
                  <c:pt idx="38">
                    <c:v>III кв.</c:v>
                  </c:pt>
                  <c:pt idx="39">
                    <c:v>IV кв.</c:v>
                  </c:pt>
                </c:lvl>
                <c:lvl>
                  <c:pt idx="0">
                    <c:v>2007 г.</c:v>
                  </c:pt>
                  <c:pt idx="4">
                    <c:v>2008 г.</c:v>
                  </c:pt>
                  <c:pt idx="8">
                    <c:v>2009 г.</c:v>
                  </c:pt>
                  <c:pt idx="12">
                    <c:v>2010 г.</c:v>
                  </c:pt>
                  <c:pt idx="16">
                    <c:v>2011 г.</c:v>
                  </c:pt>
                  <c:pt idx="20">
                    <c:v>2012 г.</c:v>
                  </c:pt>
                  <c:pt idx="24">
                    <c:v>2013 г.</c:v>
                  </c:pt>
                  <c:pt idx="28">
                    <c:v>2014 г.</c:v>
                  </c:pt>
                  <c:pt idx="32">
                    <c:v>2015 г.</c:v>
                  </c:pt>
                  <c:pt idx="36">
                    <c:v>2016 г.</c:v>
                  </c:pt>
                </c:lvl>
              </c:multiLvlStrCache>
            </c:multiLvlStrRef>
          </c:cat>
          <c:val>
            <c:numRef>
              <c:f>'[Поквартальеная статистика РФ 2007-н.в.xlsx]Лист1'!$C$7:$AQ$7</c:f>
              <c:numCache>
                <c:formatCode>0.0</c:formatCode>
                <c:ptCount val="41"/>
                <c:pt idx="0">
                  <c:v>103.2</c:v>
                </c:pt>
                <c:pt idx="1">
                  <c:v>102.6</c:v>
                </c:pt>
                <c:pt idx="2">
                  <c:v>100.6</c:v>
                </c:pt>
                <c:pt idx="3">
                  <c:v>103.2</c:v>
                </c:pt>
                <c:pt idx="4">
                  <c:v>105.1</c:v>
                </c:pt>
                <c:pt idx="5">
                  <c:v>102.9</c:v>
                </c:pt>
                <c:pt idx="6">
                  <c:v>101.4</c:v>
                </c:pt>
                <c:pt idx="7">
                  <c:v>93.6</c:v>
                </c:pt>
                <c:pt idx="8">
                  <c:v>82.8</c:v>
                </c:pt>
                <c:pt idx="9">
                  <c:v>82.2</c:v>
                </c:pt>
                <c:pt idx="10">
                  <c:v>93.1</c:v>
                </c:pt>
                <c:pt idx="11">
                  <c:v>102.1</c:v>
                </c:pt>
                <c:pt idx="12">
                  <c:v>111.6</c:v>
                </c:pt>
                <c:pt idx="13">
                  <c:v>113</c:v>
                </c:pt>
                <c:pt idx="14">
                  <c:v>101.7</c:v>
                </c:pt>
                <c:pt idx="15">
                  <c:v>102.4</c:v>
                </c:pt>
                <c:pt idx="16">
                  <c:v>103.9</c:v>
                </c:pt>
                <c:pt idx="17">
                  <c:v>105.2</c:v>
                </c:pt>
                <c:pt idx="18">
                  <c:v>102.4</c:v>
                </c:pt>
                <c:pt idx="19">
                  <c:v>102.3</c:v>
                </c:pt>
                <c:pt idx="20">
                  <c:v>104.8</c:v>
                </c:pt>
                <c:pt idx="21">
                  <c:v>100.8</c:v>
                </c:pt>
                <c:pt idx="22">
                  <c:v>104</c:v>
                </c:pt>
                <c:pt idx="23">
                  <c:v>102</c:v>
                </c:pt>
                <c:pt idx="24">
                  <c:v>98.3</c:v>
                </c:pt>
                <c:pt idx="25">
                  <c:v>100</c:v>
                </c:pt>
                <c:pt idx="26">
                  <c:v>100.7</c:v>
                </c:pt>
                <c:pt idx="27">
                  <c:v>103.1</c:v>
                </c:pt>
                <c:pt idx="28">
                  <c:v>101.6</c:v>
                </c:pt>
                <c:pt idx="29">
                  <c:v>101.2</c:v>
                </c:pt>
                <c:pt idx="30">
                  <c:v>99</c:v>
                </c:pt>
                <c:pt idx="31">
                  <c:v>97.8</c:v>
                </c:pt>
                <c:pt idx="32">
                  <c:v>98.4</c:v>
                </c:pt>
                <c:pt idx="33">
                  <c:v>97.2</c:v>
                </c:pt>
                <c:pt idx="34">
                  <c:v>101.2</c:v>
                </c:pt>
                <c:pt idx="35">
                  <c:v>103.9</c:v>
                </c:pt>
                <c:pt idx="36">
                  <c:v>101.5</c:v>
                </c:pt>
                <c:pt idx="37">
                  <c:v>101</c:v>
                </c:pt>
                <c:pt idx="38">
                  <c:v>102.8</c:v>
                </c:pt>
                <c:pt idx="39">
                  <c:v>101.8</c:v>
                </c:pt>
                <c:pt idx="40">
                  <c:v>105.4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3-D6C3-4F36-A5F9-9574186E58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49011584"/>
        <c:axId val="250852864"/>
      </c:lineChart>
      <c:catAx>
        <c:axId val="24901158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crossAx val="250852864"/>
        <c:crossesAt val="100"/>
        <c:auto val="1"/>
        <c:lblAlgn val="ctr"/>
        <c:lblOffset val="100"/>
        <c:noMultiLvlLbl val="0"/>
      </c:catAx>
      <c:valAx>
        <c:axId val="250852864"/>
        <c:scaling>
          <c:orientation val="minMax"/>
          <c:max val="135"/>
          <c:min val="75"/>
        </c:scaling>
        <c:delete val="0"/>
        <c:axPos val="l"/>
        <c:numFmt formatCode="0.0" sourceLinked="1"/>
        <c:majorTickMark val="out"/>
        <c:minorTickMark val="none"/>
        <c:tickLblPos val="nextTo"/>
        <c:crossAx val="24901158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223576950162821"/>
          <c:y val="2.5032848693046731E-2"/>
          <c:w val="0.32660384665031628"/>
          <c:h val="0.21271964190649414"/>
        </c:manualLayout>
      </c:layout>
      <c:overlay val="1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'[Поквартальеная статистика РФ 2007-н.в.xlsx]Лист1'!$B$11</c:f>
              <c:strCache>
                <c:ptCount val="1"/>
                <c:pt idx="0">
                  <c:v>Реальная пенсия</c:v>
                </c:pt>
              </c:strCache>
            </c:strRef>
          </c:tx>
          <c:spPr>
            <a:ln w="19050">
              <a:solidFill>
                <a:srgbClr val="0070C0"/>
              </a:solidFill>
            </a:ln>
          </c:spPr>
          <c:marker>
            <c:symbol val="none"/>
          </c:marker>
          <c:cat>
            <c:multiLvlStrRef>
              <c:f>'[Поквартальеная статистика РФ 2007-н.в.xlsx]Лист1'!$C$2:$AP$3</c:f>
              <c:multiLvlStrCache>
                <c:ptCount val="40"/>
                <c:lvl>
                  <c:pt idx="0">
                    <c:v>I кв.</c:v>
                  </c:pt>
                  <c:pt idx="1">
                    <c:v>II кв.</c:v>
                  </c:pt>
                  <c:pt idx="2">
                    <c:v>III кв.</c:v>
                  </c:pt>
                  <c:pt idx="3">
                    <c:v>IV кв.</c:v>
                  </c:pt>
                  <c:pt idx="4">
                    <c:v>I кв.</c:v>
                  </c:pt>
                  <c:pt idx="5">
                    <c:v>II кв.</c:v>
                  </c:pt>
                  <c:pt idx="6">
                    <c:v>III кв.</c:v>
                  </c:pt>
                  <c:pt idx="7">
                    <c:v>IV кв.</c:v>
                  </c:pt>
                  <c:pt idx="8">
                    <c:v>I кв.</c:v>
                  </c:pt>
                  <c:pt idx="9">
                    <c:v>II кв.</c:v>
                  </c:pt>
                  <c:pt idx="10">
                    <c:v>III кв.</c:v>
                  </c:pt>
                  <c:pt idx="11">
                    <c:v>IV кв.</c:v>
                  </c:pt>
                  <c:pt idx="12">
                    <c:v>I кв.</c:v>
                  </c:pt>
                  <c:pt idx="13">
                    <c:v>II кв.</c:v>
                  </c:pt>
                  <c:pt idx="14">
                    <c:v>III кв.</c:v>
                  </c:pt>
                  <c:pt idx="15">
                    <c:v>IV кв.</c:v>
                  </c:pt>
                  <c:pt idx="16">
                    <c:v>I кв.</c:v>
                  </c:pt>
                  <c:pt idx="17">
                    <c:v>II кв.</c:v>
                  </c:pt>
                  <c:pt idx="18">
                    <c:v>III кв.</c:v>
                  </c:pt>
                  <c:pt idx="19">
                    <c:v>IV кв.</c:v>
                  </c:pt>
                  <c:pt idx="20">
                    <c:v>I кв.</c:v>
                  </c:pt>
                  <c:pt idx="21">
                    <c:v>II кв.</c:v>
                  </c:pt>
                  <c:pt idx="22">
                    <c:v>III кв.</c:v>
                  </c:pt>
                  <c:pt idx="23">
                    <c:v>IV кв.</c:v>
                  </c:pt>
                  <c:pt idx="24">
                    <c:v>I кв.</c:v>
                  </c:pt>
                  <c:pt idx="25">
                    <c:v>II кв.</c:v>
                  </c:pt>
                  <c:pt idx="26">
                    <c:v>III кв.</c:v>
                  </c:pt>
                  <c:pt idx="27">
                    <c:v>IV кв.</c:v>
                  </c:pt>
                  <c:pt idx="28">
                    <c:v>I кв.</c:v>
                  </c:pt>
                  <c:pt idx="29">
                    <c:v>II кв.</c:v>
                  </c:pt>
                  <c:pt idx="30">
                    <c:v>III кв.</c:v>
                  </c:pt>
                  <c:pt idx="31">
                    <c:v>IV кв.</c:v>
                  </c:pt>
                  <c:pt idx="32">
                    <c:v>I кв.</c:v>
                  </c:pt>
                  <c:pt idx="33">
                    <c:v>II кв.</c:v>
                  </c:pt>
                  <c:pt idx="34">
                    <c:v>III кв.</c:v>
                  </c:pt>
                  <c:pt idx="35">
                    <c:v>IV кв.</c:v>
                  </c:pt>
                  <c:pt idx="36">
                    <c:v>I кв.</c:v>
                  </c:pt>
                  <c:pt idx="37">
                    <c:v>II кв.</c:v>
                  </c:pt>
                  <c:pt idx="38">
                    <c:v>III кв.</c:v>
                  </c:pt>
                  <c:pt idx="39">
                    <c:v>IV кв.</c:v>
                  </c:pt>
                </c:lvl>
                <c:lvl>
                  <c:pt idx="0">
                    <c:v>2007 г.</c:v>
                  </c:pt>
                  <c:pt idx="4">
                    <c:v>2008 г.</c:v>
                  </c:pt>
                  <c:pt idx="8">
                    <c:v>2009 г.</c:v>
                  </c:pt>
                  <c:pt idx="12">
                    <c:v>2010 г.</c:v>
                  </c:pt>
                  <c:pt idx="16">
                    <c:v>2011 г.</c:v>
                  </c:pt>
                  <c:pt idx="20">
                    <c:v>2012 г.</c:v>
                  </c:pt>
                  <c:pt idx="24">
                    <c:v>2013 г.</c:v>
                  </c:pt>
                  <c:pt idx="28">
                    <c:v>2014 г.</c:v>
                  </c:pt>
                  <c:pt idx="32">
                    <c:v>2015 г.</c:v>
                  </c:pt>
                  <c:pt idx="36">
                    <c:v>2016 г.</c:v>
                  </c:pt>
                </c:lvl>
              </c:multiLvlStrCache>
            </c:multiLvlStrRef>
          </c:cat>
          <c:val>
            <c:numRef>
              <c:f>'[Поквартальеная статистика РФ 2007-н.в.xlsx]Лист1'!$C$11:$AQ$11</c:f>
              <c:numCache>
                <c:formatCode>0.0</c:formatCode>
                <c:ptCount val="41"/>
                <c:pt idx="0">
                  <c:v>104.1</c:v>
                </c:pt>
                <c:pt idx="1">
                  <c:v>104.9</c:v>
                </c:pt>
                <c:pt idx="2">
                  <c:v>102</c:v>
                </c:pt>
                <c:pt idx="3">
                  <c:v>108.1</c:v>
                </c:pt>
                <c:pt idx="4">
                  <c:v>119</c:v>
                </c:pt>
                <c:pt idx="5">
                  <c:v>113.9</c:v>
                </c:pt>
                <c:pt idx="6">
                  <c:v>122.7</c:v>
                </c:pt>
                <c:pt idx="7">
                  <c:v>116.9</c:v>
                </c:pt>
                <c:pt idx="8">
                  <c:v>106.1</c:v>
                </c:pt>
                <c:pt idx="9">
                  <c:v>113.3</c:v>
                </c:pt>
                <c:pt idx="10">
                  <c:v>109.1</c:v>
                </c:pt>
                <c:pt idx="11">
                  <c:v>114.2</c:v>
                </c:pt>
                <c:pt idx="12">
                  <c:v>144.1</c:v>
                </c:pt>
                <c:pt idx="13">
                  <c:v>138.9</c:v>
                </c:pt>
                <c:pt idx="14">
                  <c:v>134.30000000000001</c:v>
                </c:pt>
                <c:pt idx="15">
                  <c:v>124.1</c:v>
                </c:pt>
                <c:pt idx="16">
                  <c:v>102.7</c:v>
                </c:pt>
                <c:pt idx="17">
                  <c:v>99.4</c:v>
                </c:pt>
                <c:pt idx="18">
                  <c:v>100.6</c:v>
                </c:pt>
                <c:pt idx="19">
                  <c:v>102.1</c:v>
                </c:pt>
                <c:pt idx="20">
                  <c:v>104.4</c:v>
                </c:pt>
                <c:pt idx="21">
                  <c:v>106.8</c:v>
                </c:pt>
                <c:pt idx="22">
                  <c:v>104.5</c:v>
                </c:pt>
                <c:pt idx="23">
                  <c:v>103.9</c:v>
                </c:pt>
                <c:pt idx="24">
                  <c:v>102.9</c:v>
                </c:pt>
                <c:pt idx="25">
                  <c:v>102.1</c:v>
                </c:pt>
                <c:pt idx="26">
                  <c:v>103.1</c:v>
                </c:pt>
                <c:pt idx="27">
                  <c:v>103</c:v>
                </c:pt>
                <c:pt idx="28">
                  <c:v>102.8</c:v>
                </c:pt>
                <c:pt idx="29">
                  <c:v>101</c:v>
                </c:pt>
                <c:pt idx="30">
                  <c:v>100.7</c:v>
                </c:pt>
                <c:pt idx="31">
                  <c:v>99</c:v>
                </c:pt>
                <c:pt idx="32">
                  <c:v>95.9</c:v>
                </c:pt>
                <c:pt idx="33">
                  <c:v>96</c:v>
                </c:pt>
                <c:pt idx="34">
                  <c:v>96</c:v>
                </c:pt>
                <c:pt idx="35">
                  <c:v>97</c:v>
                </c:pt>
                <c:pt idx="36">
                  <c:v>97.2</c:v>
                </c:pt>
                <c:pt idx="37">
                  <c:v>95.6</c:v>
                </c:pt>
                <c:pt idx="38">
                  <c:v>96.2</c:v>
                </c:pt>
                <c:pt idx="39">
                  <c:v>97.2</c:v>
                </c:pt>
                <c:pt idx="40">
                  <c:v>111.9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D6C3-4F36-A5F9-9574186E58F6}"/>
            </c:ext>
          </c:extLst>
        </c:ser>
        <c:ser>
          <c:idx val="1"/>
          <c:order val="1"/>
          <c:tx>
            <c:strRef>
              <c:f>'[Поквартальеная статистика РФ 2007-н.в.xlsx]Лист1'!$B$12</c:f>
              <c:strCache>
                <c:ptCount val="1"/>
                <c:pt idx="0">
                  <c:v>Инфляция</c:v>
                </c:pt>
              </c:strCache>
            </c:strRef>
          </c:tx>
          <c:spPr>
            <a:ln w="19050">
              <a:solidFill>
                <a:srgbClr val="C00000"/>
              </a:solidFill>
              <a:prstDash val="solid"/>
            </a:ln>
          </c:spPr>
          <c:marker>
            <c:symbol val="none"/>
          </c:marker>
          <c:cat>
            <c:multiLvlStrRef>
              <c:f>'[Поквартальеная статистика РФ 2007-н.в.xlsx]Лист1'!$C$2:$AP$3</c:f>
              <c:multiLvlStrCache>
                <c:ptCount val="40"/>
                <c:lvl>
                  <c:pt idx="0">
                    <c:v>I кв.</c:v>
                  </c:pt>
                  <c:pt idx="1">
                    <c:v>II кв.</c:v>
                  </c:pt>
                  <c:pt idx="2">
                    <c:v>III кв.</c:v>
                  </c:pt>
                  <c:pt idx="3">
                    <c:v>IV кв.</c:v>
                  </c:pt>
                  <c:pt idx="4">
                    <c:v>I кв.</c:v>
                  </c:pt>
                  <c:pt idx="5">
                    <c:v>II кв.</c:v>
                  </c:pt>
                  <c:pt idx="6">
                    <c:v>III кв.</c:v>
                  </c:pt>
                  <c:pt idx="7">
                    <c:v>IV кв.</c:v>
                  </c:pt>
                  <c:pt idx="8">
                    <c:v>I кв.</c:v>
                  </c:pt>
                  <c:pt idx="9">
                    <c:v>II кв.</c:v>
                  </c:pt>
                  <c:pt idx="10">
                    <c:v>III кв.</c:v>
                  </c:pt>
                  <c:pt idx="11">
                    <c:v>IV кв.</c:v>
                  </c:pt>
                  <c:pt idx="12">
                    <c:v>I кв.</c:v>
                  </c:pt>
                  <c:pt idx="13">
                    <c:v>II кв.</c:v>
                  </c:pt>
                  <c:pt idx="14">
                    <c:v>III кв.</c:v>
                  </c:pt>
                  <c:pt idx="15">
                    <c:v>IV кв.</c:v>
                  </c:pt>
                  <c:pt idx="16">
                    <c:v>I кв.</c:v>
                  </c:pt>
                  <c:pt idx="17">
                    <c:v>II кв.</c:v>
                  </c:pt>
                  <c:pt idx="18">
                    <c:v>III кв.</c:v>
                  </c:pt>
                  <c:pt idx="19">
                    <c:v>IV кв.</c:v>
                  </c:pt>
                  <c:pt idx="20">
                    <c:v>I кв.</c:v>
                  </c:pt>
                  <c:pt idx="21">
                    <c:v>II кв.</c:v>
                  </c:pt>
                  <c:pt idx="22">
                    <c:v>III кв.</c:v>
                  </c:pt>
                  <c:pt idx="23">
                    <c:v>IV кв.</c:v>
                  </c:pt>
                  <c:pt idx="24">
                    <c:v>I кв.</c:v>
                  </c:pt>
                  <c:pt idx="25">
                    <c:v>II кв.</c:v>
                  </c:pt>
                  <c:pt idx="26">
                    <c:v>III кв.</c:v>
                  </c:pt>
                  <c:pt idx="27">
                    <c:v>IV кв.</c:v>
                  </c:pt>
                  <c:pt idx="28">
                    <c:v>I кв.</c:v>
                  </c:pt>
                  <c:pt idx="29">
                    <c:v>II кв.</c:v>
                  </c:pt>
                  <c:pt idx="30">
                    <c:v>III кв.</c:v>
                  </c:pt>
                  <c:pt idx="31">
                    <c:v>IV кв.</c:v>
                  </c:pt>
                  <c:pt idx="32">
                    <c:v>I кв.</c:v>
                  </c:pt>
                  <c:pt idx="33">
                    <c:v>II кв.</c:v>
                  </c:pt>
                  <c:pt idx="34">
                    <c:v>III кв.</c:v>
                  </c:pt>
                  <c:pt idx="35">
                    <c:v>IV кв.</c:v>
                  </c:pt>
                  <c:pt idx="36">
                    <c:v>I кв.</c:v>
                  </c:pt>
                  <c:pt idx="37">
                    <c:v>II кв.</c:v>
                  </c:pt>
                  <c:pt idx="38">
                    <c:v>III кв.</c:v>
                  </c:pt>
                  <c:pt idx="39">
                    <c:v>IV кв.</c:v>
                  </c:pt>
                </c:lvl>
                <c:lvl>
                  <c:pt idx="0">
                    <c:v>2007 г.</c:v>
                  </c:pt>
                  <c:pt idx="4">
                    <c:v>2008 г.</c:v>
                  </c:pt>
                  <c:pt idx="8">
                    <c:v>2009 г.</c:v>
                  </c:pt>
                  <c:pt idx="12">
                    <c:v>2010 г.</c:v>
                  </c:pt>
                  <c:pt idx="16">
                    <c:v>2011 г.</c:v>
                  </c:pt>
                  <c:pt idx="20">
                    <c:v>2012 г.</c:v>
                  </c:pt>
                  <c:pt idx="24">
                    <c:v>2013 г.</c:v>
                  </c:pt>
                  <c:pt idx="28">
                    <c:v>2014 г.</c:v>
                  </c:pt>
                  <c:pt idx="32">
                    <c:v>2015 г.</c:v>
                  </c:pt>
                  <c:pt idx="36">
                    <c:v>2016 г.</c:v>
                  </c:pt>
                </c:lvl>
              </c:multiLvlStrCache>
            </c:multiLvlStrRef>
          </c:cat>
          <c:val>
            <c:numRef>
              <c:f>'[Поквартальеная статистика РФ 2007-н.в.xlsx]Лист1'!$C$12:$AQ$12</c:f>
              <c:numCache>
                <c:formatCode>0.0</c:formatCode>
                <c:ptCount val="41"/>
                <c:pt idx="0">
                  <c:v>103.4</c:v>
                </c:pt>
                <c:pt idx="1">
                  <c:v>102.2</c:v>
                </c:pt>
                <c:pt idx="2">
                  <c:v>101.8</c:v>
                </c:pt>
                <c:pt idx="3">
                  <c:v>104.1</c:v>
                </c:pt>
                <c:pt idx="4">
                  <c:v>104.8</c:v>
                </c:pt>
                <c:pt idx="5">
                  <c:v>103.8</c:v>
                </c:pt>
                <c:pt idx="6">
                  <c:v>101.7</c:v>
                </c:pt>
                <c:pt idx="7">
                  <c:v>102.5</c:v>
                </c:pt>
                <c:pt idx="8">
                  <c:v>105.4</c:v>
                </c:pt>
                <c:pt idx="9">
                  <c:v>101.9</c:v>
                </c:pt>
                <c:pt idx="10">
                  <c:v>100.6</c:v>
                </c:pt>
                <c:pt idx="11">
                  <c:v>100.7</c:v>
                </c:pt>
                <c:pt idx="12">
                  <c:v>103.2</c:v>
                </c:pt>
                <c:pt idx="13">
                  <c:v>101.2</c:v>
                </c:pt>
                <c:pt idx="14">
                  <c:v>101.8</c:v>
                </c:pt>
                <c:pt idx="15">
                  <c:v>102.4</c:v>
                </c:pt>
                <c:pt idx="16">
                  <c:v>103.8</c:v>
                </c:pt>
                <c:pt idx="17">
                  <c:v>101.1</c:v>
                </c:pt>
                <c:pt idx="18">
                  <c:v>99.7</c:v>
                </c:pt>
                <c:pt idx="19">
                  <c:v>101.4</c:v>
                </c:pt>
                <c:pt idx="20">
                  <c:v>101.5</c:v>
                </c:pt>
                <c:pt idx="21">
                  <c:v>101.7</c:v>
                </c:pt>
                <c:pt idx="22">
                  <c:v>101.9</c:v>
                </c:pt>
                <c:pt idx="23">
                  <c:v>101.4</c:v>
                </c:pt>
                <c:pt idx="24">
                  <c:v>101.9</c:v>
                </c:pt>
                <c:pt idx="25">
                  <c:v>101.6</c:v>
                </c:pt>
                <c:pt idx="26">
                  <c:v>101.2</c:v>
                </c:pt>
                <c:pt idx="27">
                  <c:v>101.7</c:v>
                </c:pt>
                <c:pt idx="28">
                  <c:v>107.4</c:v>
                </c:pt>
                <c:pt idx="29">
                  <c:v>101</c:v>
                </c:pt>
                <c:pt idx="30">
                  <c:v>101.7</c:v>
                </c:pt>
                <c:pt idx="31">
                  <c:v>102.3</c:v>
                </c:pt>
                <c:pt idx="32">
                  <c:v>107.4</c:v>
                </c:pt>
                <c:pt idx="33">
                  <c:v>101</c:v>
                </c:pt>
                <c:pt idx="34">
                  <c:v>101.7</c:v>
                </c:pt>
                <c:pt idx="35">
                  <c:v>102.3</c:v>
                </c:pt>
                <c:pt idx="36">
                  <c:v>102.1</c:v>
                </c:pt>
                <c:pt idx="37">
                  <c:v>101.2</c:v>
                </c:pt>
                <c:pt idx="38">
                  <c:v>100.7</c:v>
                </c:pt>
                <c:pt idx="39">
                  <c:v>101.3</c:v>
                </c:pt>
                <c:pt idx="40">
                  <c:v>101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1-D6C3-4F36-A5F9-9574186E58F6}"/>
            </c:ext>
          </c:extLst>
        </c:ser>
        <c:ser>
          <c:idx val="2"/>
          <c:order val="2"/>
          <c:tx>
            <c:strRef>
              <c:f>'[Поквартальеная статистика РФ 2007-н.в.xlsx]Лист1'!$B$10</c:f>
              <c:strCache>
                <c:ptCount val="1"/>
                <c:pt idx="0">
                  <c:v>Реальная заработная плата</c:v>
                </c:pt>
              </c:strCache>
            </c:strRef>
          </c:tx>
          <c:spPr>
            <a:ln w="19050">
              <a:solidFill>
                <a:srgbClr val="00B050"/>
              </a:solidFill>
              <a:prstDash val="solid"/>
            </a:ln>
          </c:spPr>
          <c:marker>
            <c:symbol val="none"/>
          </c:marker>
          <c:cat>
            <c:multiLvlStrRef>
              <c:f>'[Поквартальеная статистика РФ 2007-н.в.xlsx]Лист1'!$C$2:$AP$3</c:f>
              <c:multiLvlStrCache>
                <c:ptCount val="40"/>
                <c:lvl>
                  <c:pt idx="0">
                    <c:v>I кв.</c:v>
                  </c:pt>
                  <c:pt idx="1">
                    <c:v>II кв.</c:v>
                  </c:pt>
                  <c:pt idx="2">
                    <c:v>III кв.</c:v>
                  </c:pt>
                  <c:pt idx="3">
                    <c:v>IV кв.</c:v>
                  </c:pt>
                  <c:pt idx="4">
                    <c:v>I кв.</c:v>
                  </c:pt>
                  <c:pt idx="5">
                    <c:v>II кв.</c:v>
                  </c:pt>
                  <c:pt idx="6">
                    <c:v>III кв.</c:v>
                  </c:pt>
                  <c:pt idx="7">
                    <c:v>IV кв.</c:v>
                  </c:pt>
                  <c:pt idx="8">
                    <c:v>I кв.</c:v>
                  </c:pt>
                  <c:pt idx="9">
                    <c:v>II кв.</c:v>
                  </c:pt>
                  <c:pt idx="10">
                    <c:v>III кв.</c:v>
                  </c:pt>
                  <c:pt idx="11">
                    <c:v>IV кв.</c:v>
                  </c:pt>
                  <c:pt idx="12">
                    <c:v>I кв.</c:v>
                  </c:pt>
                  <c:pt idx="13">
                    <c:v>II кв.</c:v>
                  </c:pt>
                  <c:pt idx="14">
                    <c:v>III кв.</c:v>
                  </c:pt>
                  <c:pt idx="15">
                    <c:v>IV кв.</c:v>
                  </c:pt>
                  <c:pt idx="16">
                    <c:v>I кв.</c:v>
                  </c:pt>
                  <c:pt idx="17">
                    <c:v>II кв.</c:v>
                  </c:pt>
                  <c:pt idx="18">
                    <c:v>III кв.</c:v>
                  </c:pt>
                  <c:pt idx="19">
                    <c:v>IV кв.</c:v>
                  </c:pt>
                  <c:pt idx="20">
                    <c:v>I кв.</c:v>
                  </c:pt>
                  <c:pt idx="21">
                    <c:v>II кв.</c:v>
                  </c:pt>
                  <c:pt idx="22">
                    <c:v>III кв.</c:v>
                  </c:pt>
                  <c:pt idx="23">
                    <c:v>IV кв.</c:v>
                  </c:pt>
                  <c:pt idx="24">
                    <c:v>I кв.</c:v>
                  </c:pt>
                  <c:pt idx="25">
                    <c:v>II кв.</c:v>
                  </c:pt>
                  <c:pt idx="26">
                    <c:v>III кв.</c:v>
                  </c:pt>
                  <c:pt idx="27">
                    <c:v>IV кв.</c:v>
                  </c:pt>
                  <c:pt idx="28">
                    <c:v>I кв.</c:v>
                  </c:pt>
                  <c:pt idx="29">
                    <c:v>II кв.</c:v>
                  </c:pt>
                  <c:pt idx="30">
                    <c:v>III кв.</c:v>
                  </c:pt>
                  <c:pt idx="31">
                    <c:v>IV кв.</c:v>
                  </c:pt>
                  <c:pt idx="32">
                    <c:v>I кв.</c:v>
                  </c:pt>
                  <c:pt idx="33">
                    <c:v>II кв.</c:v>
                  </c:pt>
                  <c:pt idx="34">
                    <c:v>III кв.</c:v>
                  </c:pt>
                  <c:pt idx="35">
                    <c:v>IV кв.</c:v>
                  </c:pt>
                  <c:pt idx="36">
                    <c:v>I кв.</c:v>
                  </c:pt>
                  <c:pt idx="37">
                    <c:v>II кв.</c:v>
                  </c:pt>
                  <c:pt idx="38">
                    <c:v>III кв.</c:v>
                  </c:pt>
                  <c:pt idx="39">
                    <c:v>IV кв.</c:v>
                  </c:pt>
                </c:lvl>
                <c:lvl>
                  <c:pt idx="0">
                    <c:v>2007 г.</c:v>
                  </c:pt>
                  <c:pt idx="4">
                    <c:v>2008 г.</c:v>
                  </c:pt>
                  <c:pt idx="8">
                    <c:v>2009 г.</c:v>
                  </c:pt>
                  <c:pt idx="12">
                    <c:v>2010 г.</c:v>
                  </c:pt>
                  <c:pt idx="16">
                    <c:v>2011 г.</c:v>
                  </c:pt>
                  <c:pt idx="20">
                    <c:v>2012 г.</c:v>
                  </c:pt>
                  <c:pt idx="24">
                    <c:v>2013 г.</c:v>
                  </c:pt>
                  <c:pt idx="28">
                    <c:v>2014 г.</c:v>
                  </c:pt>
                  <c:pt idx="32">
                    <c:v>2015 г.</c:v>
                  </c:pt>
                  <c:pt idx="36">
                    <c:v>2016 г.</c:v>
                  </c:pt>
                </c:lvl>
              </c:multiLvlStrCache>
            </c:multiLvlStrRef>
          </c:cat>
          <c:val>
            <c:numRef>
              <c:f>'[Поквартальеная статистика РФ 2007-н.в.xlsx]Лист1'!$C$10:$AQ$10</c:f>
              <c:numCache>
                <c:formatCode>0.0</c:formatCode>
                <c:ptCount val="41"/>
                <c:pt idx="0">
                  <c:v>118.2</c:v>
                </c:pt>
                <c:pt idx="1">
                  <c:v>116.6</c:v>
                </c:pt>
                <c:pt idx="2">
                  <c:v>113.9</c:v>
                </c:pt>
                <c:pt idx="3">
                  <c:v>116.1</c:v>
                </c:pt>
                <c:pt idx="4">
                  <c:v>113.4</c:v>
                </c:pt>
                <c:pt idx="5">
                  <c:v>112.5</c:v>
                </c:pt>
                <c:pt idx="6">
                  <c:v>112.2</c:v>
                </c:pt>
                <c:pt idx="7">
                  <c:v>105</c:v>
                </c:pt>
                <c:pt idx="8">
                  <c:v>99.2</c:v>
                </c:pt>
                <c:pt idx="9">
                  <c:v>96.1</c:v>
                </c:pt>
                <c:pt idx="10">
                  <c:v>94.8</c:v>
                </c:pt>
                <c:pt idx="11">
                  <c:v>99.3</c:v>
                </c:pt>
                <c:pt idx="12">
                  <c:v>103.1</c:v>
                </c:pt>
                <c:pt idx="13">
                  <c:v>106.1</c:v>
                </c:pt>
                <c:pt idx="14">
                  <c:v>105.1</c:v>
                </c:pt>
                <c:pt idx="15">
                  <c:v>104.2</c:v>
                </c:pt>
                <c:pt idx="16">
                  <c:v>101.6</c:v>
                </c:pt>
                <c:pt idx="17">
                  <c:v>102.7</c:v>
                </c:pt>
                <c:pt idx="18">
                  <c:v>103.8</c:v>
                </c:pt>
                <c:pt idx="19">
                  <c:v>108.5</c:v>
                </c:pt>
                <c:pt idx="20">
                  <c:v>110.3</c:v>
                </c:pt>
                <c:pt idx="21">
                  <c:v>111.3</c:v>
                </c:pt>
                <c:pt idx="22">
                  <c:v>106.3</c:v>
                </c:pt>
                <c:pt idx="23">
                  <c:v>106.2</c:v>
                </c:pt>
                <c:pt idx="24">
                  <c:v>104.5</c:v>
                </c:pt>
                <c:pt idx="25">
                  <c:v>106.2</c:v>
                </c:pt>
                <c:pt idx="26">
                  <c:v>106.4</c:v>
                </c:pt>
                <c:pt idx="27">
                  <c:v>103.9</c:v>
                </c:pt>
                <c:pt idx="28">
                  <c:v>104.4</c:v>
                </c:pt>
                <c:pt idx="29">
                  <c:v>102.4</c:v>
                </c:pt>
                <c:pt idx="30">
                  <c:v>100.6</c:v>
                </c:pt>
                <c:pt idx="31">
                  <c:v>98.3</c:v>
                </c:pt>
                <c:pt idx="32">
                  <c:v>91</c:v>
                </c:pt>
                <c:pt idx="33">
                  <c:v>91.5</c:v>
                </c:pt>
                <c:pt idx="34">
                  <c:v>90.5</c:v>
                </c:pt>
                <c:pt idx="35">
                  <c:v>90.2</c:v>
                </c:pt>
                <c:pt idx="36">
                  <c:v>99.4</c:v>
                </c:pt>
                <c:pt idx="37">
                  <c:v>100.3</c:v>
                </c:pt>
                <c:pt idx="38">
                  <c:v>101.2</c:v>
                </c:pt>
                <c:pt idx="39">
                  <c:v>101.8</c:v>
                </c:pt>
                <c:pt idx="40">
                  <c:v>101.9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2-D6C3-4F36-A5F9-9574186E58F6}"/>
            </c:ext>
          </c:extLst>
        </c:ser>
        <c:ser>
          <c:idx val="3"/>
          <c:order val="3"/>
          <c:tx>
            <c:strRef>
              <c:f>'[Поквартальеная статистика РФ 2007-н.в.xlsx]Лист1'!$B$9</c:f>
              <c:strCache>
                <c:ptCount val="1"/>
                <c:pt idx="0">
                  <c:v>Реальные денежные доходы</c:v>
                </c:pt>
              </c:strCache>
            </c:strRef>
          </c:tx>
          <c:spPr>
            <a:ln w="31750">
              <a:solidFill>
                <a:schemeClr val="tx1"/>
              </a:solidFill>
              <a:prstDash val="solid"/>
            </a:ln>
          </c:spPr>
          <c:marker>
            <c:symbol val="none"/>
          </c:marker>
          <c:cat>
            <c:multiLvlStrRef>
              <c:f>'[Поквартальеная статистика РФ 2007-н.в.xlsx]Лист1'!$C$2:$AP$3</c:f>
              <c:multiLvlStrCache>
                <c:ptCount val="40"/>
                <c:lvl>
                  <c:pt idx="0">
                    <c:v>I кв.</c:v>
                  </c:pt>
                  <c:pt idx="1">
                    <c:v>II кв.</c:v>
                  </c:pt>
                  <c:pt idx="2">
                    <c:v>III кв.</c:v>
                  </c:pt>
                  <c:pt idx="3">
                    <c:v>IV кв.</c:v>
                  </c:pt>
                  <c:pt idx="4">
                    <c:v>I кв.</c:v>
                  </c:pt>
                  <c:pt idx="5">
                    <c:v>II кв.</c:v>
                  </c:pt>
                  <c:pt idx="6">
                    <c:v>III кв.</c:v>
                  </c:pt>
                  <c:pt idx="7">
                    <c:v>IV кв.</c:v>
                  </c:pt>
                  <c:pt idx="8">
                    <c:v>I кв.</c:v>
                  </c:pt>
                  <c:pt idx="9">
                    <c:v>II кв.</c:v>
                  </c:pt>
                  <c:pt idx="10">
                    <c:v>III кв.</c:v>
                  </c:pt>
                  <c:pt idx="11">
                    <c:v>IV кв.</c:v>
                  </c:pt>
                  <c:pt idx="12">
                    <c:v>I кв.</c:v>
                  </c:pt>
                  <c:pt idx="13">
                    <c:v>II кв.</c:v>
                  </c:pt>
                  <c:pt idx="14">
                    <c:v>III кв.</c:v>
                  </c:pt>
                  <c:pt idx="15">
                    <c:v>IV кв.</c:v>
                  </c:pt>
                  <c:pt idx="16">
                    <c:v>I кв.</c:v>
                  </c:pt>
                  <c:pt idx="17">
                    <c:v>II кв.</c:v>
                  </c:pt>
                  <c:pt idx="18">
                    <c:v>III кв.</c:v>
                  </c:pt>
                  <c:pt idx="19">
                    <c:v>IV кв.</c:v>
                  </c:pt>
                  <c:pt idx="20">
                    <c:v>I кв.</c:v>
                  </c:pt>
                  <c:pt idx="21">
                    <c:v>II кв.</c:v>
                  </c:pt>
                  <c:pt idx="22">
                    <c:v>III кв.</c:v>
                  </c:pt>
                  <c:pt idx="23">
                    <c:v>IV кв.</c:v>
                  </c:pt>
                  <c:pt idx="24">
                    <c:v>I кв.</c:v>
                  </c:pt>
                  <c:pt idx="25">
                    <c:v>II кв.</c:v>
                  </c:pt>
                  <c:pt idx="26">
                    <c:v>III кв.</c:v>
                  </c:pt>
                  <c:pt idx="27">
                    <c:v>IV кв.</c:v>
                  </c:pt>
                  <c:pt idx="28">
                    <c:v>I кв.</c:v>
                  </c:pt>
                  <c:pt idx="29">
                    <c:v>II кв.</c:v>
                  </c:pt>
                  <c:pt idx="30">
                    <c:v>III кв.</c:v>
                  </c:pt>
                  <c:pt idx="31">
                    <c:v>IV кв.</c:v>
                  </c:pt>
                  <c:pt idx="32">
                    <c:v>I кв.</c:v>
                  </c:pt>
                  <c:pt idx="33">
                    <c:v>II кв.</c:v>
                  </c:pt>
                  <c:pt idx="34">
                    <c:v>III кв.</c:v>
                  </c:pt>
                  <c:pt idx="35">
                    <c:v>IV кв.</c:v>
                  </c:pt>
                  <c:pt idx="36">
                    <c:v>I кв.</c:v>
                  </c:pt>
                  <c:pt idx="37">
                    <c:v>II кв.</c:v>
                  </c:pt>
                  <c:pt idx="38">
                    <c:v>III кв.</c:v>
                  </c:pt>
                  <c:pt idx="39">
                    <c:v>IV кв.</c:v>
                  </c:pt>
                </c:lvl>
                <c:lvl>
                  <c:pt idx="0">
                    <c:v>2007 г.</c:v>
                  </c:pt>
                  <c:pt idx="4">
                    <c:v>2008 г.</c:v>
                  </c:pt>
                  <c:pt idx="8">
                    <c:v>2009 г.</c:v>
                  </c:pt>
                  <c:pt idx="12">
                    <c:v>2010 г.</c:v>
                  </c:pt>
                  <c:pt idx="16">
                    <c:v>2011 г.</c:v>
                  </c:pt>
                  <c:pt idx="20">
                    <c:v>2012 г.</c:v>
                  </c:pt>
                  <c:pt idx="24">
                    <c:v>2013 г.</c:v>
                  </c:pt>
                  <c:pt idx="28">
                    <c:v>2014 г.</c:v>
                  </c:pt>
                  <c:pt idx="32">
                    <c:v>2015 г.</c:v>
                  </c:pt>
                  <c:pt idx="36">
                    <c:v>2016 г.</c:v>
                  </c:pt>
                </c:lvl>
              </c:multiLvlStrCache>
            </c:multiLvlStrRef>
          </c:cat>
          <c:val>
            <c:numRef>
              <c:f>'[Поквартальеная статистика РФ 2007-н.в.xlsx]Лист1'!$C$9:$AQ$9</c:f>
              <c:numCache>
                <c:formatCode>0.0</c:formatCode>
                <c:ptCount val="41"/>
                <c:pt idx="0">
                  <c:v>111.9</c:v>
                </c:pt>
                <c:pt idx="1">
                  <c:v>110</c:v>
                </c:pt>
                <c:pt idx="2">
                  <c:v>112.4</c:v>
                </c:pt>
                <c:pt idx="3">
                  <c:v>113</c:v>
                </c:pt>
                <c:pt idx="4">
                  <c:v>107.5</c:v>
                </c:pt>
                <c:pt idx="5">
                  <c:v>105.7</c:v>
                </c:pt>
                <c:pt idx="6">
                  <c:v>104.5</c:v>
                </c:pt>
                <c:pt idx="7">
                  <c:v>93.1</c:v>
                </c:pt>
                <c:pt idx="8">
                  <c:v>100.7</c:v>
                </c:pt>
                <c:pt idx="9">
                  <c:v>103</c:v>
                </c:pt>
                <c:pt idx="10">
                  <c:v>96.4</c:v>
                </c:pt>
                <c:pt idx="11">
                  <c:v>108.2</c:v>
                </c:pt>
                <c:pt idx="12">
                  <c:v>108.1</c:v>
                </c:pt>
                <c:pt idx="13">
                  <c:v>104.3</c:v>
                </c:pt>
                <c:pt idx="14">
                  <c:v>105.8</c:v>
                </c:pt>
                <c:pt idx="15">
                  <c:v>102.9</c:v>
                </c:pt>
                <c:pt idx="16">
                  <c:v>99.4</c:v>
                </c:pt>
                <c:pt idx="17">
                  <c:v>98.9</c:v>
                </c:pt>
                <c:pt idx="18">
                  <c:v>101.9</c:v>
                </c:pt>
                <c:pt idx="19">
                  <c:v>101.5</c:v>
                </c:pt>
                <c:pt idx="20">
                  <c:v>102.2</c:v>
                </c:pt>
                <c:pt idx="21">
                  <c:v>104.8</c:v>
                </c:pt>
                <c:pt idx="22">
                  <c:v>104.5</c:v>
                </c:pt>
                <c:pt idx="23">
                  <c:v>106</c:v>
                </c:pt>
                <c:pt idx="24">
                  <c:v>105.9</c:v>
                </c:pt>
                <c:pt idx="25">
                  <c:v>103.8</c:v>
                </c:pt>
                <c:pt idx="26">
                  <c:v>103.2</c:v>
                </c:pt>
                <c:pt idx="27">
                  <c:v>103.6</c:v>
                </c:pt>
                <c:pt idx="28">
                  <c:v>97.2</c:v>
                </c:pt>
                <c:pt idx="29">
                  <c:v>100.8</c:v>
                </c:pt>
                <c:pt idx="30">
                  <c:v>102.6</c:v>
                </c:pt>
                <c:pt idx="31">
                  <c:v>96.5</c:v>
                </c:pt>
                <c:pt idx="32">
                  <c:v>97.1</c:v>
                </c:pt>
                <c:pt idx="33">
                  <c:v>94.8</c:v>
                </c:pt>
                <c:pt idx="34">
                  <c:v>95.2</c:v>
                </c:pt>
                <c:pt idx="35">
                  <c:v>96.7</c:v>
                </c:pt>
                <c:pt idx="36">
                  <c:v>96.2</c:v>
                </c:pt>
                <c:pt idx="37">
                  <c:v>94.5</c:v>
                </c:pt>
                <c:pt idx="38">
                  <c:v>93.5</c:v>
                </c:pt>
                <c:pt idx="39">
                  <c:v>94.2</c:v>
                </c:pt>
                <c:pt idx="40">
                  <c:v>100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3-D6C3-4F36-A5F9-9574186E58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1531648"/>
        <c:axId val="171533440"/>
      </c:lineChart>
      <c:catAx>
        <c:axId val="1715316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crossAx val="171533440"/>
        <c:crossesAt val="100"/>
        <c:auto val="1"/>
        <c:lblAlgn val="ctr"/>
        <c:lblOffset val="100"/>
        <c:noMultiLvlLbl val="0"/>
      </c:catAx>
      <c:valAx>
        <c:axId val="171533440"/>
        <c:scaling>
          <c:orientation val="minMax"/>
          <c:max val="145"/>
          <c:min val="85"/>
        </c:scaling>
        <c:delete val="0"/>
        <c:axPos val="l"/>
        <c:numFmt formatCode="0.0" sourceLinked="1"/>
        <c:majorTickMark val="out"/>
        <c:minorTickMark val="none"/>
        <c:tickLblPos val="nextTo"/>
        <c:crossAx val="17153164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518601729048239"/>
          <c:y val="2.5032848693046731E-2"/>
          <c:w val="0.33697944324712059"/>
          <c:h val="0.21271964190649414"/>
        </c:manualLayout>
      </c:layout>
      <c:overlay val="1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'[Поквартальеная статистика РФ 2007-н.в.xlsx]Лист1'!$B$22</c:f>
              <c:strCache>
                <c:ptCount val="1"/>
                <c:pt idx="0">
                  <c:v>Экспорт</c:v>
                </c:pt>
              </c:strCache>
            </c:strRef>
          </c:tx>
          <c:spPr>
            <a:ln w="19050">
              <a:solidFill>
                <a:srgbClr val="0070C0"/>
              </a:solidFill>
            </a:ln>
          </c:spPr>
          <c:marker>
            <c:symbol val="none"/>
          </c:marker>
          <c:cat>
            <c:multiLvlStrRef>
              <c:f>'[Поквартальеная статистика РФ 2007-н.в.xlsx]Лист1'!$C$2:$AP$3</c:f>
              <c:multiLvlStrCache>
                <c:ptCount val="40"/>
                <c:lvl>
                  <c:pt idx="0">
                    <c:v>I кв.</c:v>
                  </c:pt>
                  <c:pt idx="1">
                    <c:v>II кв.</c:v>
                  </c:pt>
                  <c:pt idx="2">
                    <c:v>III кв.</c:v>
                  </c:pt>
                  <c:pt idx="3">
                    <c:v>IV кв.</c:v>
                  </c:pt>
                  <c:pt idx="4">
                    <c:v>I кв.</c:v>
                  </c:pt>
                  <c:pt idx="5">
                    <c:v>II кв.</c:v>
                  </c:pt>
                  <c:pt idx="6">
                    <c:v>III кв.</c:v>
                  </c:pt>
                  <c:pt idx="7">
                    <c:v>IV кв.</c:v>
                  </c:pt>
                  <c:pt idx="8">
                    <c:v>I кв.</c:v>
                  </c:pt>
                  <c:pt idx="9">
                    <c:v>II кв.</c:v>
                  </c:pt>
                  <c:pt idx="10">
                    <c:v>III кв.</c:v>
                  </c:pt>
                  <c:pt idx="11">
                    <c:v>IV кв.</c:v>
                  </c:pt>
                  <c:pt idx="12">
                    <c:v>I кв.</c:v>
                  </c:pt>
                  <c:pt idx="13">
                    <c:v>II кв.</c:v>
                  </c:pt>
                  <c:pt idx="14">
                    <c:v>III кв.</c:v>
                  </c:pt>
                  <c:pt idx="15">
                    <c:v>IV кв.</c:v>
                  </c:pt>
                  <c:pt idx="16">
                    <c:v>I кв.</c:v>
                  </c:pt>
                  <c:pt idx="17">
                    <c:v>II кв.</c:v>
                  </c:pt>
                  <c:pt idx="18">
                    <c:v>III кв.</c:v>
                  </c:pt>
                  <c:pt idx="19">
                    <c:v>IV кв.</c:v>
                  </c:pt>
                  <c:pt idx="20">
                    <c:v>I кв.</c:v>
                  </c:pt>
                  <c:pt idx="21">
                    <c:v>II кв.</c:v>
                  </c:pt>
                  <c:pt idx="22">
                    <c:v>III кв.</c:v>
                  </c:pt>
                  <c:pt idx="23">
                    <c:v>IV кв.</c:v>
                  </c:pt>
                  <c:pt idx="24">
                    <c:v>I кв.</c:v>
                  </c:pt>
                  <c:pt idx="25">
                    <c:v>II кв.</c:v>
                  </c:pt>
                  <c:pt idx="26">
                    <c:v>III кв.</c:v>
                  </c:pt>
                  <c:pt idx="27">
                    <c:v>IV кв.</c:v>
                  </c:pt>
                  <c:pt idx="28">
                    <c:v>I кв.</c:v>
                  </c:pt>
                  <c:pt idx="29">
                    <c:v>II кв.</c:v>
                  </c:pt>
                  <c:pt idx="30">
                    <c:v>III кв.</c:v>
                  </c:pt>
                  <c:pt idx="31">
                    <c:v>IV кв.</c:v>
                  </c:pt>
                  <c:pt idx="32">
                    <c:v>I кв.</c:v>
                  </c:pt>
                  <c:pt idx="33">
                    <c:v>II кв.</c:v>
                  </c:pt>
                  <c:pt idx="34">
                    <c:v>III кв.</c:v>
                  </c:pt>
                  <c:pt idx="35">
                    <c:v>IV кв.</c:v>
                  </c:pt>
                  <c:pt idx="36">
                    <c:v>I кв.</c:v>
                  </c:pt>
                  <c:pt idx="37">
                    <c:v>II кв.</c:v>
                  </c:pt>
                  <c:pt idx="38">
                    <c:v>III кв.</c:v>
                  </c:pt>
                  <c:pt idx="39">
                    <c:v>IV кв.</c:v>
                  </c:pt>
                </c:lvl>
                <c:lvl>
                  <c:pt idx="0">
                    <c:v>2007 г.</c:v>
                  </c:pt>
                  <c:pt idx="4">
                    <c:v>2008 г.</c:v>
                  </c:pt>
                  <c:pt idx="8">
                    <c:v>2009 г.</c:v>
                  </c:pt>
                  <c:pt idx="12">
                    <c:v>2010 г.</c:v>
                  </c:pt>
                  <c:pt idx="16">
                    <c:v>2011 г.</c:v>
                  </c:pt>
                  <c:pt idx="20">
                    <c:v>2012 г.</c:v>
                  </c:pt>
                  <c:pt idx="24">
                    <c:v>2013 г.</c:v>
                  </c:pt>
                  <c:pt idx="28">
                    <c:v>2014 г.</c:v>
                  </c:pt>
                  <c:pt idx="32">
                    <c:v>2015 г.</c:v>
                  </c:pt>
                  <c:pt idx="36">
                    <c:v>2016 г.</c:v>
                  </c:pt>
                </c:lvl>
              </c:multiLvlStrCache>
            </c:multiLvlStrRef>
          </c:cat>
          <c:val>
            <c:numRef>
              <c:f>'[Поквартальеная статистика РФ 2007-н.в.xlsx]Лист1'!$C$22:$AQ$22</c:f>
              <c:numCache>
                <c:formatCode>0.0</c:formatCode>
                <c:ptCount val="41"/>
                <c:pt idx="0">
                  <c:v>105.7</c:v>
                </c:pt>
                <c:pt idx="1">
                  <c:v>108.4</c:v>
                </c:pt>
                <c:pt idx="2">
                  <c:v>110.6</c:v>
                </c:pt>
                <c:pt idx="3">
                  <c:v>139.9</c:v>
                </c:pt>
                <c:pt idx="4">
                  <c:v>154.4</c:v>
                </c:pt>
                <c:pt idx="5">
                  <c:v>153.9</c:v>
                </c:pt>
                <c:pt idx="6">
                  <c:v>154.4</c:v>
                </c:pt>
                <c:pt idx="7">
                  <c:v>90.7</c:v>
                </c:pt>
                <c:pt idx="8">
                  <c:v>53.3</c:v>
                </c:pt>
                <c:pt idx="9">
                  <c:v>50.4</c:v>
                </c:pt>
                <c:pt idx="10">
                  <c:v>60.7</c:v>
                </c:pt>
                <c:pt idx="11">
                  <c:v>96.7</c:v>
                </c:pt>
                <c:pt idx="12">
                  <c:v>155.9</c:v>
                </c:pt>
                <c:pt idx="13">
                  <c:v>150</c:v>
                </c:pt>
                <c:pt idx="14">
                  <c:v>117.2</c:v>
                </c:pt>
                <c:pt idx="15">
                  <c:v>118.4</c:v>
                </c:pt>
                <c:pt idx="16">
                  <c:v>124</c:v>
                </c:pt>
                <c:pt idx="17">
                  <c:v>140</c:v>
                </c:pt>
                <c:pt idx="18">
                  <c:v>134.1</c:v>
                </c:pt>
                <c:pt idx="19">
                  <c:v>127.2</c:v>
                </c:pt>
                <c:pt idx="20">
                  <c:v>117.3</c:v>
                </c:pt>
                <c:pt idx="21">
                  <c:v>98.3</c:v>
                </c:pt>
                <c:pt idx="22">
                  <c:v>97.6</c:v>
                </c:pt>
                <c:pt idx="23">
                  <c:v>98.7</c:v>
                </c:pt>
                <c:pt idx="24">
                  <c:v>95.3</c:v>
                </c:pt>
                <c:pt idx="25">
                  <c:v>96.7</c:v>
                </c:pt>
                <c:pt idx="26">
                  <c:v>104.4</c:v>
                </c:pt>
                <c:pt idx="27">
                  <c:v>99.6</c:v>
                </c:pt>
                <c:pt idx="28">
                  <c:v>98.4</c:v>
                </c:pt>
                <c:pt idx="29">
                  <c:v>104.1</c:v>
                </c:pt>
                <c:pt idx="30">
                  <c:v>96.2</c:v>
                </c:pt>
                <c:pt idx="31">
                  <c:v>83.4</c:v>
                </c:pt>
                <c:pt idx="32">
                  <c:v>73.400000000000006</c:v>
                </c:pt>
                <c:pt idx="33">
                  <c:v>69.2</c:v>
                </c:pt>
                <c:pt idx="34">
                  <c:v>62.7</c:v>
                </c:pt>
                <c:pt idx="35">
                  <c:v>69.8</c:v>
                </c:pt>
                <c:pt idx="36">
                  <c:v>67</c:v>
                </c:pt>
                <c:pt idx="37">
                  <c:v>74.099999999999994</c:v>
                </c:pt>
                <c:pt idx="38">
                  <c:v>90</c:v>
                </c:pt>
                <c:pt idx="39">
                  <c:v>101.8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D6C3-4F36-A5F9-9574186E58F6}"/>
            </c:ext>
          </c:extLst>
        </c:ser>
        <c:ser>
          <c:idx val="1"/>
          <c:order val="1"/>
          <c:tx>
            <c:strRef>
              <c:f>'[Поквартальеная статистика РФ 2007-н.в.xlsx]Лист1'!$B$23</c:f>
              <c:strCache>
                <c:ptCount val="1"/>
                <c:pt idx="0">
                  <c:v>Импорт</c:v>
                </c:pt>
              </c:strCache>
            </c:strRef>
          </c:tx>
          <c:spPr>
            <a:ln w="19050">
              <a:solidFill>
                <a:srgbClr val="C00000"/>
              </a:solidFill>
              <a:prstDash val="solid"/>
            </a:ln>
          </c:spPr>
          <c:marker>
            <c:symbol val="none"/>
          </c:marker>
          <c:cat>
            <c:multiLvlStrRef>
              <c:f>'[Поквартальеная статистика РФ 2007-н.в.xlsx]Лист1'!$C$2:$AP$3</c:f>
              <c:multiLvlStrCache>
                <c:ptCount val="40"/>
                <c:lvl>
                  <c:pt idx="0">
                    <c:v>I кв.</c:v>
                  </c:pt>
                  <c:pt idx="1">
                    <c:v>II кв.</c:v>
                  </c:pt>
                  <c:pt idx="2">
                    <c:v>III кв.</c:v>
                  </c:pt>
                  <c:pt idx="3">
                    <c:v>IV кв.</c:v>
                  </c:pt>
                  <c:pt idx="4">
                    <c:v>I кв.</c:v>
                  </c:pt>
                  <c:pt idx="5">
                    <c:v>II кв.</c:v>
                  </c:pt>
                  <c:pt idx="6">
                    <c:v>III кв.</c:v>
                  </c:pt>
                  <c:pt idx="7">
                    <c:v>IV кв.</c:v>
                  </c:pt>
                  <c:pt idx="8">
                    <c:v>I кв.</c:v>
                  </c:pt>
                  <c:pt idx="9">
                    <c:v>II кв.</c:v>
                  </c:pt>
                  <c:pt idx="10">
                    <c:v>III кв.</c:v>
                  </c:pt>
                  <c:pt idx="11">
                    <c:v>IV кв.</c:v>
                  </c:pt>
                  <c:pt idx="12">
                    <c:v>I кв.</c:v>
                  </c:pt>
                  <c:pt idx="13">
                    <c:v>II кв.</c:v>
                  </c:pt>
                  <c:pt idx="14">
                    <c:v>III кв.</c:v>
                  </c:pt>
                  <c:pt idx="15">
                    <c:v>IV кв.</c:v>
                  </c:pt>
                  <c:pt idx="16">
                    <c:v>I кв.</c:v>
                  </c:pt>
                  <c:pt idx="17">
                    <c:v>II кв.</c:v>
                  </c:pt>
                  <c:pt idx="18">
                    <c:v>III кв.</c:v>
                  </c:pt>
                  <c:pt idx="19">
                    <c:v>IV кв.</c:v>
                  </c:pt>
                  <c:pt idx="20">
                    <c:v>I кв.</c:v>
                  </c:pt>
                  <c:pt idx="21">
                    <c:v>II кв.</c:v>
                  </c:pt>
                  <c:pt idx="22">
                    <c:v>III кв.</c:v>
                  </c:pt>
                  <c:pt idx="23">
                    <c:v>IV кв.</c:v>
                  </c:pt>
                  <c:pt idx="24">
                    <c:v>I кв.</c:v>
                  </c:pt>
                  <c:pt idx="25">
                    <c:v>II кв.</c:v>
                  </c:pt>
                  <c:pt idx="26">
                    <c:v>III кв.</c:v>
                  </c:pt>
                  <c:pt idx="27">
                    <c:v>IV кв.</c:v>
                  </c:pt>
                  <c:pt idx="28">
                    <c:v>I кв.</c:v>
                  </c:pt>
                  <c:pt idx="29">
                    <c:v>II кв.</c:v>
                  </c:pt>
                  <c:pt idx="30">
                    <c:v>III кв.</c:v>
                  </c:pt>
                  <c:pt idx="31">
                    <c:v>IV кв.</c:v>
                  </c:pt>
                  <c:pt idx="32">
                    <c:v>I кв.</c:v>
                  </c:pt>
                  <c:pt idx="33">
                    <c:v>II кв.</c:v>
                  </c:pt>
                  <c:pt idx="34">
                    <c:v>III кв.</c:v>
                  </c:pt>
                  <c:pt idx="35">
                    <c:v>IV кв.</c:v>
                  </c:pt>
                  <c:pt idx="36">
                    <c:v>I кв.</c:v>
                  </c:pt>
                  <c:pt idx="37">
                    <c:v>II кв.</c:v>
                  </c:pt>
                  <c:pt idx="38">
                    <c:v>III кв.</c:v>
                  </c:pt>
                  <c:pt idx="39">
                    <c:v>IV кв.</c:v>
                  </c:pt>
                </c:lvl>
                <c:lvl>
                  <c:pt idx="0">
                    <c:v>2007 г.</c:v>
                  </c:pt>
                  <c:pt idx="4">
                    <c:v>2008 г.</c:v>
                  </c:pt>
                  <c:pt idx="8">
                    <c:v>2009 г.</c:v>
                  </c:pt>
                  <c:pt idx="12">
                    <c:v>2010 г.</c:v>
                  </c:pt>
                  <c:pt idx="16">
                    <c:v>2011 г.</c:v>
                  </c:pt>
                  <c:pt idx="20">
                    <c:v>2012 г.</c:v>
                  </c:pt>
                  <c:pt idx="24">
                    <c:v>2013 г.</c:v>
                  </c:pt>
                  <c:pt idx="28">
                    <c:v>2014 г.</c:v>
                  </c:pt>
                  <c:pt idx="32">
                    <c:v>2015 г.</c:v>
                  </c:pt>
                  <c:pt idx="36">
                    <c:v>2016 г.</c:v>
                  </c:pt>
                </c:lvl>
              </c:multiLvlStrCache>
            </c:multiLvlStrRef>
          </c:cat>
          <c:val>
            <c:numRef>
              <c:f>'[Поквартальеная статистика РФ 2007-н.в.xlsx]Лист1'!$C$23:$AQ$23</c:f>
              <c:numCache>
                <c:formatCode>0.0</c:formatCode>
                <c:ptCount val="41"/>
                <c:pt idx="0">
                  <c:v>138.6</c:v>
                </c:pt>
                <c:pt idx="1">
                  <c:v>135.9</c:v>
                </c:pt>
                <c:pt idx="2">
                  <c:v>137.9</c:v>
                </c:pt>
                <c:pt idx="3">
                  <c:v>135.1</c:v>
                </c:pt>
                <c:pt idx="4">
                  <c:v>140.30000000000001</c:v>
                </c:pt>
                <c:pt idx="5">
                  <c:v>142</c:v>
                </c:pt>
                <c:pt idx="6">
                  <c:v>143.1</c:v>
                </c:pt>
                <c:pt idx="7">
                  <c:v>101.8</c:v>
                </c:pt>
                <c:pt idx="8">
                  <c:v>63.1</c:v>
                </c:pt>
                <c:pt idx="9">
                  <c:v>56</c:v>
                </c:pt>
                <c:pt idx="10">
                  <c:v>56.4</c:v>
                </c:pt>
                <c:pt idx="11">
                  <c:v>80.8</c:v>
                </c:pt>
                <c:pt idx="12">
                  <c:v>118.8</c:v>
                </c:pt>
                <c:pt idx="13">
                  <c:v>136.6</c:v>
                </c:pt>
                <c:pt idx="14">
                  <c:v>144.4</c:v>
                </c:pt>
                <c:pt idx="15">
                  <c:v>132.30000000000001</c:v>
                </c:pt>
                <c:pt idx="16">
                  <c:v>144.30000000000001</c:v>
                </c:pt>
                <c:pt idx="17">
                  <c:v>143.69999999999999</c:v>
                </c:pt>
                <c:pt idx="18">
                  <c:v>122.9</c:v>
                </c:pt>
                <c:pt idx="19">
                  <c:v>116.4</c:v>
                </c:pt>
                <c:pt idx="20">
                  <c:v>111.7</c:v>
                </c:pt>
                <c:pt idx="21">
                  <c:v>99.5</c:v>
                </c:pt>
                <c:pt idx="22">
                  <c:v>104.7</c:v>
                </c:pt>
                <c:pt idx="23">
                  <c:v>107</c:v>
                </c:pt>
                <c:pt idx="24">
                  <c:v>106</c:v>
                </c:pt>
                <c:pt idx="25">
                  <c:v>103.1</c:v>
                </c:pt>
                <c:pt idx="26">
                  <c:v>100.3</c:v>
                </c:pt>
                <c:pt idx="27">
                  <c:v>98.2</c:v>
                </c:pt>
                <c:pt idx="28">
                  <c:v>94.6</c:v>
                </c:pt>
                <c:pt idx="29">
                  <c:v>95.5</c:v>
                </c:pt>
                <c:pt idx="30">
                  <c:v>92.2</c:v>
                </c:pt>
                <c:pt idx="31">
                  <c:v>80</c:v>
                </c:pt>
                <c:pt idx="32">
                  <c:v>61.6</c:v>
                </c:pt>
                <c:pt idx="33">
                  <c:v>59.1</c:v>
                </c:pt>
                <c:pt idx="34">
                  <c:v>61.9</c:v>
                </c:pt>
                <c:pt idx="35">
                  <c:v>68.400000000000006</c:v>
                </c:pt>
                <c:pt idx="36">
                  <c:v>85.3</c:v>
                </c:pt>
                <c:pt idx="37">
                  <c:v>95.6</c:v>
                </c:pt>
                <c:pt idx="38">
                  <c:v>105.7</c:v>
                </c:pt>
                <c:pt idx="39">
                  <c:v>108.8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1-D6C3-4F36-A5F9-9574186E58F6}"/>
            </c:ext>
          </c:extLst>
        </c:ser>
        <c:ser>
          <c:idx val="2"/>
          <c:order val="2"/>
          <c:tx>
            <c:strRef>
              <c:f>'[Поквартальеная статистика РФ 2007-н.в.xlsx]Лист1'!$B$21</c:f>
              <c:strCache>
                <c:ptCount val="1"/>
                <c:pt idx="0">
                  <c:v>Розничная торговля</c:v>
                </c:pt>
              </c:strCache>
            </c:strRef>
          </c:tx>
          <c:spPr>
            <a:ln w="19050">
              <a:solidFill>
                <a:srgbClr val="00B050"/>
              </a:solidFill>
              <a:prstDash val="solid"/>
            </a:ln>
          </c:spPr>
          <c:marker>
            <c:symbol val="none"/>
          </c:marker>
          <c:cat>
            <c:multiLvlStrRef>
              <c:f>'[Поквартальеная статистика РФ 2007-н.в.xlsx]Лист1'!$C$2:$AP$3</c:f>
              <c:multiLvlStrCache>
                <c:ptCount val="40"/>
                <c:lvl>
                  <c:pt idx="0">
                    <c:v>I кв.</c:v>
                  </c:pt>
                  <c:pt idx="1">
                    <c:v>II кв.</c:v>
                  </c:pt>
                  <c:pt idx="2">
                    <c:v>III кв.</c:v>
                  </c:pt>
                  <c:pt idx="3">
                    <c:v>IV кв.</c:v>
                  </c:pt>
                  <c:pt idx="4">
                    <c:v>I кв.</c:v>
                  </c:pt>
                  <c:pt idx="5">
                    <c:v>II кв.</c:v>
                  </c:pt>
                  <c:pt idx="6">
                    <c:v>III кв.</c:v>
                  </c:pt>
                  <c:pt idx="7">
                    <c:v>IV кв.</c:v>
                  </c:pt>
                  <c:pt idx="8">
                    <c:v>I кв.</c:v>
                  </c:pt>
                  <c:pt idx="9">
                    <c:v>II кв.</c:v>
                  </c:pt>
                  <c:pt idx="10">
                    <c:v>III кв.</c:v>
                  </c:pt>
                  <c:pt idx="11">
                    <c:v>IV кв.</c:v>
                  </c:pt>
                  <c:pt idx="12">
                    <c:v>I кв.</c:v>
                  </c:pt>
                  <c:pt idx="13">
                    <c:v>II кв.</c:v>
                  </c:pt>
                  <c:pt idx="14">
                    <c:v>III кв.</c:v>
                  </c:pt>
                  <c:pt idx="15">
                    <c:v>IV кв.</c:v>
                  </c:pt>
                  <c:pt idx="16">
                    <c:v>I кв.</c:v>
                  </c:pt>
                  <c:pt idx="17">
                    <c:v>II кв.</c:v>
                  </c:pt>
                  <c:pt idx="18">
                    <c:v>III кв.</c:v>
                  </c:pt>
                  <c:pt idx="19">
                    <c:v>IV кв.</c:v>
                  </c:pt>
                  <c:pt idx="20">
                    <c:v>I кв.</c:v>
                  </c:pt>
                  <c:pt idx="21">
                    <c:v>II кв.</c:v>
                  </c:pt>
                  <c:pt idx="22">
                    <c:v>III кв.</c:v>
                  </c:pt>
                  <c:pt idx="23">
                    <c:v>IV кв.</c:v>
                  </c:pt>
                  <c:pt idx="24">
                    <c:v>I кв.</c:v>
                  </c:pt>
                  <c:pt idx="25">
                    <c:v>II кв.</c:v>
                  </c:pt>
                  <c:pt idx="26">
                    <c:v>III кв.</c:v>
                  </c:pt>
                  <c:pt idx="27">
                    <c:v>IV кв.</c:v>
                  </c:pt>
                  <c:pt idx="28">
                    <c:v>I кв.</c:v>
                  </c:pt>
                  <c:pt idx="29">
                    <c:v>II кв.</c:v>
                  </c:pt>
                  <c:pt idx="30">
                    <c:v>III кв.</c:v>
                  </c:pt>
                  <c:pt idx="31">
                    <c:v>IV кв.</c:v>
                  </c:pt>
                  <c:pt idx="32">
                    <c:v>I кв.</c:v>
                  </c:pt>
                  <c:pt idx="33">
                    <c:v>II кв.</c:v>
                  </c:pt>
                  <c:pt idx="34">
                    <c:v>III кв.</c:v>
                  </c:pt>
                  <c:pt idx="35">
                    <c:v>IV кв.</c:v>
                  </c:pt>
                  <c:pt idx="36">
                    <c:v>I кв.</c:v>
                  </c:pt>
                  <c:pt idx="37">
                    <c:v>II кв.</c:v>
                  </c:pt>
                  <c:pt idx="38">
                    <c:v>III кв.</c:v>
                  </c:pt>
                  <c:pt idx="39">
                    <c:v>IV кв.</c:v>
                  </c:pt>
                </c:lvl>
                <c:lvl>
                  <c:pt idx="0">
                    <c:v>2007 г.</c:v>
                  </c:pt>
                  <c:pt idx="4">
                    <c:v>2008 г.</c:v>
                  </c:pt>
                  <c:pt idx="8">
                    <c:v>2009 г.</c:v>
                  </c:pt>
                  <c:pt idx="12">
                    <c:v>2010 г.</c:v>
                  </c:pt>
                  <c:pt idx="16">
                    <c:v>2011 г.</c:v>
                  </c:pt>
                  <c:pt idx="20">
                    <c:v>2012 г.</c:v>
                  </c:pt>
                  <c:pt idx="24">
                    <c:v>2013 г.</c:v>
                  </c:pt>
                  <c:pt idx="28">
                    <c:v>2014 г.</c:v>
                  </c:pt>
                  <c:pt idx="32">
                    <c:v>2015 г.</c:v>
                  </c:pt>
                  <c:pt idx="36">
                    <c:v>2016 г.</c:v>
                  </c:pt>
                </c:lvl>
              </c:multiLvlStrCache>
            </c:multiLvlStrRef>
          </c:cat>
          <c:val>
            <c:numRef>
              <c:f>'[Поквартальеная статистика РФ 2007-н.в.xlsx]Лист1'!$C$21:$AQ$21</c:f>
              <c:numCache>
                <c:formatCode>0.0</c:formatCode>
                <c:ptCount val="41"/>
                <c:pt idx="0">
                  <c:v>114.8</c:v>
                </c:pt>
                <c:pt idx="1">
                  <c:v>115.8</c:v>
                </c:pt>
                <c:pt idx="2">
                  <c:v>116.8</c:v>
                </c:pt>
                <c:pt idx="3">
                  <c:v>116.8</c:v>
                </c:pt>
                <c:pt idx="4">
                  <c:v>117.4</c:v>
                </c:pt>
                <c:pt idx="5">
                  <c:v>115.1</c:v>
                </c:pt>
                <c:pt idx="6">
                  <c:v>115.2</c:v>
                </c:pt>
                <c:pt idx="7">
                  <c:v>108.8</c:v>
                </c:pt>
                <c:pt idx="8">
                  <c:v>100.4</c:v>
                </c:pt>
                <c:pt idx="9">
                  <c:v>94.8</c:v>
                </c:pt>
                <c:pt idx="10">
                  <c:v>91.1</c:v>
                </c:pt>
                <c:pt idx="11">
                  <c:v>94.3</c:v>
                </c:pt>
                <c:pt idx="12">
                  <c:v>102.4</c:v>
                </c:pt>
                <c:pt idx="13">
                  <c:v>107</c:v>
                </c:pt>
                <c:pt idx="14">
                  <c:v>108.6</c:v>
                </c:pt>
                <c:pt idx="15">
                  <c:v>107.6</c:v>
                </c:pt>
                <c:pt idx="16">
                  <c:v>105</c:v>
                </c:pt>
                <c:pt idx="17">
                  <c:v>105.8</c:v>
                </c:pt>
                <c:pt idx="18">
                  <c:v>107.9</c:v>
                </c:pt>
                <c:pt idx="19">
                  <c:v>109</c:v>
                </c:pt>
                <c:pt idx="20">
                  <c:v>107.9</c:v>
                </c:pt>
                <c:pt idx="21">
                  <c:v>107.4</c:v>
                </c:pt>
                <c:pt idx="22">
                  <c:v>105.6</c:v>
                </c:pt>
                <c:pt idx="23">
                  <c:v>104.9</c:v>
                </c:pt>
                <c:pt idx="24">
                  <c:v>104</c:v>
                </c:pt>
                <c:pt idx="25">
                  <c:v>103.8</c:v>
                </c:pt>
                <c:pt idx="26">
                  <c:v>104</c:v>
                </c:pt>
                <c:pt idx="27">
                  <c:v>103.6</c:v>
                </c:pt>
                <c:pt idx="28">
                  <c:v>103.9</c:v>
                </c:pt>
                <c:pt idx="29">
                  <c:v>102.1</c:v>
                </c:pt>
                <c:pt idx="30">
                  <c:v>101.6</c:v>
                </c:pt>
                <c:pt idx="31">
                  <c:v>103.1</c:v>
                </c:pt>
                <c:pt idx="32">
                  <c:v>93</c:v>
                </c:pt>
                <c:pt idx="33">
                  <c:v>90.3</c:v>
                </c:pt>
                <c:pt idx="34">
                  <c:v>90.1</c:v>
                </c:pt>
                <c:pt idx="35">
                  <c:v>87.3</c:v>
                </c:pt>
                <c:pt idx="36">
                  <c:v>95</c:v>
                </c:pt>
                <c:pt idx="37">
                  <c:v>95.1</c:v>
                </c:pt>
                <c:pt idx="38">
                  <c:v>96.1</c:v>
                </c:pt>
                <c:pt idx="39">
                  <c:v>95.4</c:v>
                </c:pt>
                <c:pt idx="40">
                  <c:v>98.2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2-D6C3-4F36-A5F9-9574186E58F6}"/>
            </c:ext>
          </c:extLst>
        </c:ser>
        <c:ser>
          <c:idx val="3"/>
          <c:order val="3"/>
          <c:tx>
            <c:strRef>
              <c:f>'[Поквартальеная статистика РФ 2007-н.в.xlsx]Лист1'!$B$24</c:f>
              <c:strCache>
                <c:ptCount val="1"/>
                <c:pt idx="0">
                  <c:v>Платные услуги населению</c:v>
                </c:pt>
              </c:strCache>
            </c:strRef>
          </c:tx>
          <c:spPr>
            <a:ln w="19050">
              <a:solidFill>
                <a:schemeClr val="tx1"/>
              </a:solidFill>
              <a:prstDash val="solid"/>
            </a:ln>
          </c:spPr>
          <c:marker>
            <c:symbol val="none"/>
          </c:marker>
          <c:cat>
            <c:multiLvlStrRef>
              <c:f>'[Поквартальеная статистика РФ 2007-н.в.xlsx]Лист1'!$C$2:$AP$3</c:f>
              <c:multiLvlStrCache>
                <c:ptCount val="40"/>
                <c:lvl>
                  <c:pt idx="0">
                    <c:v>I кв.</c:v>
                  </c:pt>
                  <c:pt idx="1">
                    <c:v>II кв.</c:v>
                  </c:pt>
                  <c:pt idx="2">
                    <c:v>III кв.</c:v>
                  </c:pt>
                  <c:pt idx="3">
                    <c:v>IV кв.</c:v>
                  </c:pt>
                  <c:pt idx="4">
                    <c:v>I кв.</c:v>
                  </c:pt>
                  <c:pt idx="5">
                    <c:v>II кв.</c:v>
                  </c:pt>
                  <c:pt idx="6">
                    <c:v>III кв.</c:v>
                  </c:pt>
                  <c:pt idx="7">
                    <c:v>IV кв.</c:v>
                  </c:pt>
                  <c:pt idx="8">
                    <c:v>I кв.</c:v>
                  </c:pt>
                  <c:pt idx="9">
                    <c:v>II кв.</c:v>
                  </c:pt>
                  <c:pt idx="10">
                    <c:v>III кв.</c:v>
                  </c:pt>
                  <c:pt idx="11">
                    <c:v>IV кв.</c:v>
                  </c:pt>
                  <c:pt idx="12">
                    <c:v>I кв.</c:v>
                  </c:pt>
                  <c:pt idx="13">
                    <c:v>II кв.</c:v>
                  </c:pt>
                  <c:pt idx="14">
                    <c:v>III кв.</c:v>
                  </c:pt>
                  <c:pt idx="15">
                    <c:v>IV кв.</c:v>
                  </c:pt>
                  <c:pt idx="16">
                    <c:v>I кв.</c:v>
                  </c:pt>
                  <c:pt idx="17">
                    <c:v>II кв.</c:v>
                  </c:pt>
                  <c:pt idx="18">
                    <c:v>III кв.</c:v>
                  </c:pt>
                  <c:pt idx="19">
                    <c:v>IV кв.</c:v>
                  </c:pt>
                  <c:pt idx="20">
                    <c:v>I кв.</c:v>
                  </c:pt>
                  <c:pt idx="21">
                    <c:v>II кв.</c:v>
                  </c:pt>
                  <c:pt idx="22">
                    <c:v>III кв.</c:v>
                  </c:pt>
                  <c:pt idx="23">
                    <c:v>IV кв.</c:v>
                  </c:pt>
                  <c:pt idx="24">
                    <c:v>I кв.</c:v>
                  </c:pt>
                  <c:pt idx="25">
                    <c:v>II кв.</c:v>
                  </c:pt>
                  <c:pt idx="26">
                    <c:v>III кв.</c:v>
                  </c:pt>
                  <c:pt idx="27">
                    <c:v>IV кв.</c:v>
                  </c:pt>
                  <c:pt idx="28">
                    <c:v>I кв.</c:v>
                  </c:pt>
                  <c:pt idx="29">
                    <c:v>II кв.</c:v>
                  </c:pt>
                  <c:pt idx="30">
                    <c:v>III кв.</c:v>
                  </c:pt>
                  <c:pt idx="31">
                    <c:v>IV кв.</c:v>
                  </c:pt>
                  <c:pt idx="32">
                    <c:v>I кв.</c:v>
                  </c:pt>
                  <c:pt idx="33">
                    <c:v>II кв.</c:v>
                  </c:pt>
                  <c:pt idx="34">
                    <c:v>III кв.</c:v>
                  </c:pt>
                  <c:pt idx="35">
                    <c:v>IV кв.</c:v>
                  </c:pt>
                  <c:pt idx="36">
                    <c:v>I кв.</c:v>
                  </c:pt>
                  <c:pt idx="37">
                    <c:v>II кв.</c:v>
                  </c:pt>
                  <c:pt idx="38">
                    <c:v>III кв.</c:v>
                  </c:pt>
                  <c:pt idx="39">
                    <c:v>IV кв.</c:v>
                  </c:pt>
                </c:lvl>
                <c:lvl>
                  <c:pt idx="0">
                    <c:v>2007 г.</c:v>
                  </c:pt>
                  <c:pt idx="4">
                    <c:v>2008 г.</c:v>
                  </c:pt>
                  <c:pt idx="8">
                    <c:v>2009 г.</c:v>
                  </c:pt>
                  <c:pt idx="12">
                    <c:v>2010 г.</c:v>
                  </c:pt>
                  <c:pt idx="16">
                    <c:v>2011 г.</c:v>
                  </c:pt>
                  <c:pt idx="20">
                    <c:v>2012 г.</c:v>
                  </c:pt>
                  <c:pt idx="24">
                    <c:v>2013 г.</c:v>
                  </c:pt>
                  <c:pt idx="28">
                    <c:v>2014 г.</c:v>
                  </c:pt>
                  <c:pt idx="32">
                    <c:v>2015 г.</c:v>
                  </c:pt>
                  <c:pt idx="36">
                    <c:v>2016 г.</c:v>
                  </c:pt>
                </c:lvl>
              </c:multiLvlStrCache>
            </c:multiLvlStrRef>
          </c:cat>
          <c:val>
            <c:numRef>
              <c:f>'[Поквартальеная статистика РФ 2007-н.в.xlsx]Лист1'!$C$24:$AQ$24</c:f>
              <c:numCache>
                <c:formatCode>0.0</c:formatCode>
                <c:ptCount val="41"/>
                <c:pt idx="0">
                  <c:v>108.7</c:v>
                </c:pt>
                <c:pt idx="1">
                  <c:v>107</c:v>
                </c:pt>
                <c:pt idx="2">
                  <c:v>106.1</c:v>
                </c:pt>
                <c:pt idx="3">
                  <c:v>106.9</c:v>
                </c:pt>
                <c:pt idx="4">
                  <c:v>107.4</c:v>
                </c:pt>
                <c:pt idx="5">
                  <c:v>105.4</c:v>
                </c:pt>
                <c:pt idx="6">
                  <c:v>105.1</c:v>
                </c:pt>
                <c:pt idx="7">
                  <c:v>101.8</c:v>
                </c:pt>
                <c:pt idx="8">
                  <c:v>99.1</c:v>
                </c:pt>
                <c:pt idx="9">
                  <c:v>95.3</c:v>
                </c:pt>
                <c:pt idx="10">
                  <c:v>93.6</c:v>
                </c:pt>
                <c:pt idx="11">
                  <c:v>95.6</c:v>
                </c:pt>
                <c:pt idx="12">
                  <c:v>99.9</c:v>
                </c:pt>
                <c:pt idx="13">
                  <c:v>101.6</c:v>
                </c:pt>
                <c:pt idx="14">
                  <c:v>101.5</c:v>
                </c:pt>
                <c:pt idx="15">
                  <c:v>102.6</c:v>
                </c:pt>
                <c:pt idx="16">
                  <c:v>102.9</c:v>
                </c:pt>
                <c:pt idx="17">
                  <c:v>103.8</c:v>
                </c:pt>
                <c:pt idx="18">
                  <c:v>102.4</c:v>
                </c:pt>
                <c:pt idx="19">
                  <c:v>102.8</c:v>
                </c:pt>
                <c:pt idx="20">
                  <c:v>104.9</c:v>
                </c:pt>
                <c:pt idx="21">
                  <c:v>103.5</c:v>
                </c:pt>
                <c:pt idx="22">
                  <c:v>102.7</c:v>
                </c:pt>
                <c:pt idx="23">
                  <c:v>103.8</c:v>
                </c:pt>
                <c:pt idx="24">
                  <c:v>103.1</c:v>
                </c:pt>
                <c:pt idx="25">
                  <c:v>101.1</c:v>
                </c:pt>
                <c:pt idx="26">
                  <c:v>103.2</c:v>
                </c:pt>
                <c:pt idx="27">
                  <c:v>101.2</c:v>
                </c:pt>
                <c:pt idx="28">
                  <c:v>101.2</c:v>
                </c:pt>
                <c:pt idx="29">
                  <c:v>100.7</c:v>
                </c:pt>
                <c:pt idx="30">
                  <c:v>101.4</c:v>
                </c:pt>
                <c:pt idx="31">
                  <c:v>101.9</c:v>
                </c:pt>
                <c:pt idx="32">
                  <c:v>99.7</c:v>
                </c:pt>
                <c:pt idx="33">
                  <c:v>98.1</c:v>
                </c:pt>
                <c:pt idx="34">
                  <c:v>97.4</c:v>
                </c:pt>
                <c:pt idx="35">
                  <c:v>97.3</c:v>
                </c:pt>
                <c:pt idx="36">
                  <c:v>98.8</c:v>
                </c:pt>
                <c:pt idx="37">
                  <c:v>99.5</c:v>
                </c:pt>
                <c:pt idx="38">
                  <c:v>100</c:v>
                </c:pt>
                <c:pt idx="39">
                  <c:v>100.3</c:v>
                </c:pt>
                <c:pt idx="40">
                  <c:v>99.7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3-D6C3-4F36-A5F9-9574186E58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1550976"/>
        <c:axId val="171552768"/>
      </c:lineChart>
      <c:catAx>
        <c:axId val="17155097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crossAx val="171552768"/>
        <c:crossesAt val="100"/>
        <c:auto val="1"/>
        <c:lblAlgn val="ctr"/>
        <c:lblOffset val="100"/>
        <c:noMultiLvlLbl val="0"/>
      </c:catAx>
      <c:valAx>
        <c:axId val="171552768"/>
        <c:scaling>
          <c:orientation val="minMax"/>
          <c:max val="165"/>
          <c:min val="45"/>
        </c:scaling>
        <c:delete val="0"/>
        <c:axPos val="l"/>
        <c:numFmt formatCode="0.0" sourceLinked="1"/>
        <c:majorTickMark val="out"/>
        <c:minorTickMark val="none"/>
        <c:tickLblPos val="nextTo"/>
        <c:crossAx val="17155097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5601041154354567"/>
          <c:y val="2.5032848693046731E-2"/>
          <c:w val="0.33282920460839882"/>
          <c:h val="0.21271964190649414"/>
        </c:manualLayout>
      </c:layout>
      <c:overlay val="1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1"/>
          <c:order val="0"/>
          <c:tx>
            <c:strRef>
              <c:f>'[Поквартальеная статистика РФ 2007-н.в.xlsx]Лист1'!$B$15</c:f>
              <c:strCache>
                <c:ptCount val="1"/>
                <c:pt idx="0">
                  <c:v>Безработица</c:v>
                </c:pt>
              </c:strCache>
            </c:strRef>
          </c:tx>
          <c:spPr>
            <a:ln w="19050">
              <a:solidFill>
                <a:srgbClr val="C00000"/>
              </a:solidFill>
              <a:prstDash val="solid"/>
            </a:ln>
          </c:spPr>
          <c:marker>
            <c:symbol val="none"/>
          </c:marker>
          <c:cat>
            <c:multiLvlStrRef>
              <c:f>'[Поквартальеная статистика РФ 2007-н.в.xlsx]Лист1'!$C$2:$AP$3</c:f>
              <c:multiLvlStrCache>
                <c:ptCount val="40"/>
                <c:lvl>
                  <c:pt idx="0">
                    <c:v>I кв.</c:v>
                  </c:pt>
                  <c:pt idx="1">
                    <c:v>II кв.</c:v>
                  </c:pt>
                  <c:pt idx="2">
                    <c:v>III кв.</c:v>
                  </c:pt>
                  <c:pt idx="3">
                    <c:v>IV кв.</c:v>
                  </c:pt>
                  <c:pt idx="4">
                    <c:v>I кв.</c:v>
                  </c:pt>
                  <c:pt idx="5">
                    <c:v>II кв.</c:v>
                  </c:pt>
                  <c:pt idx="6">
                    <c:v>III кв.</c:v>
                  </c:pt>
                  <c:pt idx="7">
                    <c:v>IV кв.</c:v>
                  </c:pt>
                  <c:pt idx="8">
                    <c:v>I кв.</c:v>
                  </c:pt>
                  <c:pt idx="9">
                    <c:v>II кв.</c:v>
                  </c:pt>
                  <c:pt idx="10">
                    <c:v>III кв.</c:v>
                  </c:pt>
                  <c:pt idx="11">
                    <c:v>IV кв.</c:v>
                  </c:pt>
                  <c:pt idx="12">
                    <c:v>I кв.</c:v>
                  </c:pt>
                  <c:pt idx="13">
                    <c:v>II кв.</c:v>
                  </c:pt>
                  <c:pt idx="14">
                    <c:v>III кв.</c:v>
                  </c:pt>
                  <c:pt idx="15">
                    <c:v>IV кв.</c:v>
                  </c:pt>
                  <c:pt idx="16">
                    <c:v>I кв.</c:v>
                  </c:pt>
                  <c:pt idx="17">
                    <c:v>II кв.</c:v>
                  </c:pt>
                  <c:pt idx="18">
                    <c:v>III кв.</c:v>
                  </c:pt>
                  <c:pt idx="19">
                    <c:v>IV кв.</c:v>
                  </c:pt>
                  <c:pt idx="20">
                    <c:v>I кв.</c:v>
                  </c:pt>
                  <c:pt idx="21">
                    <c:v>II кв.</c:v>
                  </c:pt>
                  <c:pt idx="22">
                    <c:v>III кв.</c:v>
                  </c:pt>
                  <c:pt idx="23">
                    <c:v>IV кв.</c:v>
                  </c:pt>
                  <c:pt idx="24">
                    <c:v>I кв.</c:v>
                  </c:pt>
                  <c:pt idx="25">
                    <c:v>II кв.</c:v>
                  </c:pt>
                  <c:pt idx="26">
                    <c:v>III кв.</c:v>
                  </c:pt>
                  <c:pt idx="27">
                    <c:v>IV кв.</c:v>
                  </c:pt>
                  <c:pt idx="28">
                    <c:v>I кв.</c:v>
                  </c:pt>
                  <c:pt idx="29">
                    <c:v>II кв.</c:v>
                  </c:pt>
                  <c:pt idx="30">
                    <c:v>III кв.</c:v>
                  </c:pt>
                  <c:pt idx="31">
                    <c:v>IV кв.</c:v>
                  </c:pt>
                  <c:pt idx="32">
                    <c:v>I кв.</c:v>
                  </c:pt>
                  <c:pt idx="33">
                    <c:v>II кв.</c:v>
                  </c:pt>
                  <c:pt idx="34">
                    <c:v>III кв.</c:v>
                  </c:pt>
                  <c:pt idx="35">
                    <c:v>IV кв.</c:v>
                  </c:pt>
                  <c:pt idx="36">
                    <c:v>I кв.</c:v>
                  </c:pt>
                  <c:pt idx="37">
                    <c:v>II кв.</c:v>
                  </c:pt>
                  <c:pt idx="38">
                    <c:v>III кв.</c:v>
                  </c:pt>
                  <c:pt idx="39">
                    <c:v>IV кв.</c:v>
                  </c:pt>
                </c:lvl>
                <c:lvl>
                  <c:pt idx="0">
                    <c:v>2007 г.</c:v>
                  </c:pt>
                  <c:pt idx="4">
                    <c:v>2008 г.</c:v>
                  </c:pt>
                  <c:pt idx="8">
                    <c:v>2009 г.</c:v>
                  </c:pt>
                  <c:pt idx="12">
                    <c:v>2010 г.</c:v>
                  </c:pt>
                  <c:pt idx="16">
                    <c:v>2011 г.</c:v>
                  </c:pt>
                  <c:pt idx="20">
                    <c:v>2012 г.</c:v>
                  </c:pt>
                  <c:pt idx="24">
                    <c:v>2013 г.</c:v>
                  </c:pt>
                  <c:pt idx="28">
                    <c:v>2014 г.</c:v>
                  </c:pt>
                  <c:pt idx="32">
                    <c:v>2015 г.</c:v>
                  </c:pt>
                  <c:pt idx="36">
                    <c:v>2016 г.</c:v>
                  </c:pt>
                </c:lvl>
              </c:multiLvlStrCache>
            </c:multiLvlStrRef>
          </c:cat>
          <c:val>
            <c:numRef>
              <c:f>'[Поквартальеная статистика РФ 2007-н.в.xlsx]Лист1'!$C$15:$AQ$15</c:f>
              <c:numCache>
                <c:formatCode>0.0</c:formatCode>
                <c:ptCount val="41"/>
                <c:pt idx="0">
                  <c:v>91.5</c:v>
                </c:pt>
                <c:pt idx="1">
                  <c:v>82.6</c:v>
                </c:pt>
                <c:pt idx="2">
                  <c:v>85.6</c:v>
                </c:pt>
                <c:pt idx="3">
                  <c:v>86.7</c:v>
                </c:pt>
                <c:pt idx="4">
                  <c:v>96.5</c:v>
                </c:pt>
                <c:pt idx="5">
                  <c:v>94.2</c:v>
                </c:pt>
                <c:pt idx="6">
                  <c:v>105.6</c:v>
                </c:pt>
                <c:pt idx="7">
                  <c:v>123.7</c:v>
                </c:pt>
                <c:pt idx="8">
                  <c:v>134.80000000000001</c:v>
                </c:pt>
                <c:pt idx="9">
                  <c:v>152.1</c:v>
                </c:pt>
                <c:pt idx="10">
                  <c:v>132.19999999999999</c:v>
                </c:pt>
                <c:pt idx="11">
                  <c:v>112.3</c:v>
                </c:pt>
                <c:pt idx="12">
                  <c:v>96.2</c:v>
                </c:pt>
                <c:pt idx="13">
                  <c:v>86.6</c:v>
                </c:pt>
                <c:pt idx="14">
                  <c:v>86.8</c:v>
                </c:pt>
                <c:pt idx="15">
                  <c:v>85.2</c:v>
                </c:pt>
                <c:pt idx="16">
                  <c:v>85.7</c:v>
                </c:pt>
                <c:pt idx="17">
                  <c:v>88.1</c:v>
                </c:pt>
                <c:pt idx="18">
                  <c:v>91.8</c:v>
                </c:pt>
                <c:pt idx="19">
                  <c:v>91.6</c:v>
                </c:pt>
                <c:pt idx="20">
                  <c:v>85.3</c:v>
                </c:pt>
                <c:pt idx="21">
                  <c:v>83.8</c:v>
                </c:pt>
                <c:pt idx="22">
                  <c:v>82.5</c:v>
                </c:pt>
                <c:pt idx="23">
                  <c:v>83.9</c:v>
                </c:pt>
                <c:pt idx="24">
                  <c:v>92.6</c:v>
                </c:pt>
                <c:pt idx="25">
                  <c:v>100</c:v>
                </c:pt>
                <c:pt idx="26">
                  <c:v>103</c:v>
                </c:pt>
                <c:pt idx="27">
                  <c:v>106.7</c:v>
                </c:pt>
                <c:pt idx="28">
                  <c:v>95.2</c:v>
                </c:pt>
                <c:pt idx="29">
                  <c:v>93.4</c:v>
                </c:pt>
                <c:pt idx="30">
                  <c:v>92.6</c:v>
                </c:pt>
                <c:pt idx="31">
                  <c:v>94.7</c:v>
                </c:pt>
                <c:pt idx="32">
                  <c:v>102.6</c:v>
                </c:pt>
                <c:pt idx="33">
                  <c:v>110.3</c:v>
                </c:pt>
                <c:pt idx="34">
                  <c:v>107.8</c:v>
                </c:pt>
                <c:pt idx="35">
                  <c:v>109.4</c:v>
                </c:pt>
                <c:pt idx="36">
                  <c:v>102.6</c:v>
                </c:pt>
                <c:pt idx="37">
                  <c:v>101.5</c:v>
                </c:pt>
                <c:pt idx="38">
                  <c:v>100.1</c:v>
                </c:pt>
                <c:pt idx="39">
                  <c:v>93.9</c:v>
                </c:pt>
                <c:pt idx="40">
                  <c:v>94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1-D6C3-4F36-A5F9-9574186E58F6}"/>
            </c:ext>
          </c:extLst>
        </c:ser>
        <c:ser>
          <c:idx val="2"/>
          <c:order val="1"/>
          <c:tx>
            <c:strRef>
              <c:f>'[Поквартальеная статистика РФ 2007-н.в.xlsx]Лист1'!$B$14</c:f>
              <c:strCache>
                <c:ptCount val="1"/>
                <c:pt idx="0">
                  <c:v>Занятость</c:v>
                </c:pt>
              </c:strCache>
            </c:strRef>
          </c:tx>
          <c:spPr>
            <a:ln w="19050">
              <a:solidFill>
                <a:srgbClr val="00B050"/>
              </a:solidFill>
              <a:prstDash val="solid"/>
            </a:ln>
          </c:spPr>
          <c:marker>
            <c:symbol val="none"/>
          </c:marker>
          <c:cat>
            <c:multiLvlStrRef>
              <c:f>'[Поквартальеная статистика РФ 2007-н.в.xlsx]Лист1'!$C$2:$AP$3</c:f>
              <c:multiLvlStrCache>
                <c:ptCount val="40"/>
                <c:lvl>
                  <c:pt idx="0">
                    <c:v>I кв.</c:v>
                  </c:pt>
                  <c:pt idx="1">
                    <c:v>II кв.</c:v>
                  </c:pt>
                  <c:pt idx="2">
                    <c:v>III кв.</c:v>
                  </c:pt>
                  <c:pt idx="3">
                    <c:v>IV кв.</c:v>
                  </c:pt>
                  <c:pt idx="4">
                    <c:v>I кв.</c:v>
                  </c:pt>
                  <c:pt idx="5">
                    <c:v>II кв.</c:v>
                  </c:pt>
                  <c:pt idx="6">
                    <c:v>III кв.</c:v>
                  </c:pt>
                  <c:pt idx="7">
                    <c:v>IV кв.</c:v>
                  </c:pt>
                  <c:pt idx="8">
                    <c:v>I кв.</c:v>
                  </c:pt>
                  <c:pt idx="9">
                    <c:v>II кв.</c:v>
                  </c:pt>
                  <c:pt idx="10">
                    <c:v>III кв.</c:v>
                  </c:pt>
                  <c:pt idx="11">
                    <c:v>IV кв.</c:v>
                  </c:pt>
                  <c:pt idx="12">
                    <c:v>I кв.</c:v>
                  </c:pt>
                  <c:pt idx="13">
                    <c:v>II кв.</c:v>
                  </c:pt>
                  <c:pt idx="14">
                    <c:v>III кв.</c:v>
                  </c:pt>
                  <c:pt idx="15">
                    <c:v>IV кв.</c:v>
                  </c:pt>
                  <c:pt idx="16">
                    <c:v>I кв.</c:v>
                  </c:pt>
                  <c:pt idx="17">
                    <c:v>II кв.</c:v>
                  </c:pt>
                  <c:pt idx="18">
                    <c:v>III кв.</c:v>
                  </c:pt>
                  <c:pt idx="19">
                    <c:v>IV кв.</c:v>
                  </c:pt>
                  <c:pt idx="20">
                    <c:v>I кв.</c:v>
                  </c:pt>
                  <c:pt idx="21">
                    <c:v>II кв.</c:v>
                  </c:pt>
                  <c:pt idx="22">
                    <c:v>III кв.</c:v>
                  </c:pt>
                  <c:pt idx="23">
                    <c:v>IV кв.</c:v>
                  </c:pt>
                  <c:pt idx="24">
                    <c:v>I кв.</c:v>
                  </c:pt>
                  <c:pt idx="25">
                    <c:v>II кв.</c:v>
                  </c:pt>
                  <c:pt idx="26">
                    <c:v>III кв.</c:v>
                  </c:pt>
                  <c:pt idx="27">
                    <c:v>IV кв.</c:v>
                  </c:pt>
                  <c:pt idx="28">
                    <c:v>I кв.</c:v>
                  </c:pt>
                  <c:pt idx="29">
                    <c:v>II кв.</c:v>
                  </c:pt>
                  <c:pt idx="30">
                    <c:v>III кв.</c:v>
                  </c:pt>
                  <c:pt idx="31">
                    <c:v>IV кв.</c:v>
                  </c:pt>
                  <c:pt idx="32">
                    <c:v>I кв.</c:v>
                  </c:pt>
                  <c:pt idx="33">
                    <c:v>II кв.</c:v>
                  </c:pt>
                  <c:pt idx="34">
                    <c:v>III кв.</c:v>
                  </c:pt>
                  <c:pt idx="35">
                    <c:v>IV кв.</c:v>
                  </c:pt>
                  <c:pt idx="36">
                    <c:v>I кв.</c:v>
                  </c:pt>
                  <c:pt idx="37">
                    <c:v>II кв.</c:v>
                  </c:pt>
                  <c:pt idx="38">
                    <c:v>III кв.</c:v>
                  </c:pt>
                  <c:pt idx="39">
                    <c:v>IV кв.</c:v>
                  </c:pt>
                </c:lvl>
                <c:lvl>
                  <c:pt idx="0">
                    <c:v>2007 г.</c:v>
                  </c:pt>
                  <c:pt idx="4">
                    <c:v>2008 г.</c:v>
                  </c:pt>
                  <c:pt idx="8">
                    <c:v>2009 г.</c:v>
                  </c:pt>
                  <c:pt idx="12">
                    <c:v>2010 г.</c:v>
                  </c:pt>
                  <c:pt idx="16">
                    <c:v>2011 г.</c:v>
                  </c:pt>
                  <c:pt idx="20">
                    <c:v>2012 г.</c:v>
                  </c:pt>
                  <c:pt idx="24">
                    <c:v>2013 г.</c:v>
                  </c:pt>
                  <c:pt idx="28">
                    <c:v>2014 г.</c:v>
                  </c:pt>
                  <c:pt idx="32">
                    <c:v>2015 г.</c:v>
                  </c:pt>
                  <c:pt idx="36">
                    <c:v>2016 г.</c:v>
                  </c:pt>
                </c:lvl>
              </c:multiLvlStrCache>
            </c:multiLvlStrRef>
          </c:cat>
          <c:val>
            <c:numRef>
              <c:f>'[Поквартальеная статистика РФ 2007-н.в.xlsx]Лист1'!$C$14:$AQ$14</c:f>
              <c:numCache>
                <c:formatCode>0.0</c:formatCode>
                <c:ptCount val="41"/>
                <c:pt idx="0">
                  <c:v>102.2</c:v>
                </c:pt>
                <c:pt idx="1">
                  <c:v>102.9</c:v>
                </c:pt>
                <c:pt idx="2">
                  <c:v>102.4</c:v>
                </c:pt>
                <c:pt idx="3">
                  <c:v>102.2</c:v>
                </c:pt>
                <c:pt idx="4">
                  <c:v>100.8</c:v>
                </c:pt>
                <c:pt idx="5">
                  <c:v>101.2</c:v>
                </c:pt>
                <c:pt idx="6">
                  <c:v>100.7</c:v>
                </c:pt>
                <c:pt idx="7">
                  <c:v>99.6</c:v>
                </c:pt>
                <c:pt idx="8">
                  <c:v>97.7</c:v>
                </c:pt>
                <c:pt idx="9">
                  <c:v>97.1</c:v>
                </c:pt>
                <c:pt idx="10">
                  <c:v>97.9</c:v>
                </c:pt>
                <c:pt idx="11">
                  <c:v>98.7</c:v>
                </c:pt>
                <c:pt idx="12">
                  <c:v>99.6</c:v>
                </c:pt>
                <c:pt idx="13">
                  <c:v>101</c:v>
                </c:pt>
                <c:pt idx="14">
                  <c:v>101</c:v>
                </c:pt>
                <c:pt idx="15">
                  <c:v>100.9</c:v>
                </c:pt>
                <c:pt idx="16">
                  <c:v>102.1</c:v>
                </c:pt>
                <c:pt idx="17">
                  <c:v>101</c:v>
                </c:pt>
                <c:pt idx="18">
                  <c:v>101.1</c:v>
                </c:pt>
                <c:pt idx="19">
                  <c:v>101.1</c:v>
                </c:pt>
                <c:pt idx="20">
                  <c:v>100.8</c:v>
                </c:pt>
                <c:pt idx="21">
                  <c:v>101.5</c:v>
                </c:pt>
                <c:pt idx="22">
                  <c:v>100.8</c:v>
                </c:pt>
                <c:pt idx="23">
                  <c:v>100.8</c:v>
                </c:pt>
                <c:pt idx="24">
                  <c:v>101.2</c:v>
                </c:pt>
                <c:pt idx="25">
                  <c:v>99.2</c:v>
                </c:pt>
                <c:pt idx="26">
                  <c:v>99.2</c:v>
                </c:pt>
                <c:pt idx="27">
                  <c:v>99.5</c:v>
                </c:pt>
                <c:pt idx="28">
                  <c:v>99.9</c:v>
                </c:pt>
                <c:pt idx="29">
                  <c:v>100.1</c:v>
                </c:pt>
                <c:pt idx="30">
                  <c:v>100.2</c:v>
                </c:pt>
                <c:pt idx="31">
                  <c:v>100.5</c:v>
                </c:pt>
                <c:pt idx="32">
                  <c:v>99.7</c:v>
                </c:pt>
                <c:pt idx="33">
                  <c:v>99.5</c:v>
                </c:pt>
                <c:pt idx="34">
                  <c:v>99.8</c:v>
                </c:pt>
                <c:pt idx="35">
                  <c:v>99.4</c:v>
                </c:pt>
                <c:pt idx="36">
                  <c:v>99.8</c:v>
                </c:pt>
                <c:pt idx="37">
                  <c:v>100</c:v>
                </c:pt>
                <c:pt idx="38">
                  <c:v>100.2</c:v>
                </c:pt>
                <c:pt idx="39">
                  <c:v>100.4</c:v>
                </c:pt>
                <c:pt idx="40">
                  <c:v>100.1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2-D6C3-4F36-A5F9-9574186E58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1571072"/>
        <c:axId val="171572608"/>
      </c:lineChart>
      <c:catAx>
        <c:axId val="17157107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crossAx val="171572608"/>
        <c:crossesAt val="100"/>
        <c:auto val="1"/>
        <c:lblAlgn val="ctr"/>
        <c:lblOffset val="100"/>
        <c:noMultiLvlLbl val="0"/>
      </c:catAx>
      <c:valAx>
        <c:axId val="171572608"/>
        <c:scaling>
          <c:orientation val="minMax"/>
          <c:max val="155"/>
          <c:min val="75"/>
        </c:scaling>
        <c:delete val="0"/>
        <c:axPos val="l"/>
        <c:numFmt formatCode="0.0" sourceLinked="1"/>
        <c:majorTickMark val="out"/>
        <c:minorTickMark val="none"/>
        <c:tickLblPos val="nextTo"/>
        <c:crossAx val="17157107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6824122336245515"/>
          <c:y val="2.5032848693046731E-2"/>
          <c:w val="0.22059845867402192"/>
          <c:h val="0.13222281384105983"/>
        </c:manualLayout>
      </c:layout>
      <c:overlay val="1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'[Поквартальеная статистика РФ 2007-н.в.xlsx]Лист1'!$B$18</c:f>
              <c:strCache>
                <c:ptCount val="1"/>
                <c:pt idx="0">
                  <c:v>Строительство</c:v>
                </c:pt>
              </c:strCache>
            </c:strRef>
          </c:tx>
          <c:spPr>
            <a:ln w="19050">
              <a:solidFill>
                <a:srgbClr val="C00000"/>
              </a:solidFill>
            </a:ln>
          </c:spPr>
          <c:marker>
            <c:symbol val="none"/>
          </c:marker>
          <c:cat>
            <c:multiLvlStrRef>
              <c:f>'[Поквартальеная статистика РФ 2007-н.в.xlsx]Лист1'!$C$2:$AP$3</c:f>
              <c:multiLvlStrCache>
                <c:ptCount val="40"/>
                <c:lvl>
                  <c:pt idx="0">
                    <c:v>I кв.</c:v>
                  </c:pt>
                  <c:pt idx="1">
                    <c:v>II кв.</c:v>
                  </c:pt>
                  <c:pt idx="2">
                    <c:v>III кв.</c:v>
                  </c:pt>
                  <c:pt idx="3">
                    <c:v>IV кв.</c:v>
                  </c:pt>
                  <c:pt idx="4">
                    <c:v>I кв.</c:v>
                  </c:pt>
                  <c:pt idx="5">
                    <c:v>II кв.</c:v>
                  </c:pt>
                  <c:pt idx="6">
                    <c:v>III кв.</c:v>
                  </c:pt>
                  <c:pt idx="7">
                    <c:v>IV кв.</c:v>
                  </c:pt>
                  <c:pt idx="8">
                    <c:v>I кв.</c:v>
                  </c:pt>
                  <c:pt idx="9">
                    <c:v>II кв.</c:v>
                  </c:pt>
                  <c:pt idx="10">
                    <c:v>III кв.</c:v>
                  </c:pt>
                  <c:pt idx="11">
                    <c:v>IV кв.</c:v>
                  </c:pt>
                  <c:pt idx="12">
                    <c:v>I кв.</c:v>
                  </c:pt>
                  <c:pt idx="13">
                    <c:v>II кв.</c:v>
                  </c:pt>
                  <c:pt idx="14">
                    <c:v>III кв.</c:v>
                  </c:pt>
                  <c:pt idx="15">
                    <c:v>IV кв.</c:v>
                  </c:pt>
                  <c:pt idx="16">
                    <c:v>I кв.</c:v>
                  </c:pt>
                  <c:pt idx="17">
                    <c:v>II кв.</c:v>
                  </c:pt>
                  <c:pt idx="18">
                    <c:v>III кв.</c:v>
                  </c:pt>
                  <c:pt idx="19">
                    <c:v>IV кв.</c:v>
                  </c:pt>
                  <c:pt idx="20">
                    <c:v>I кв.</c:v>
                  </c:pt>
                  <c:pt idx="21">
                    <c:v>II кв.</c:v>
                  </c:pt>
                  <c:pt idx="22">
                    <c:v>III кв.</c:v>
                  </c:pt>
                  <c:pt idx="23">
                    <c:v>IV кв.</c:v>
                  </c:pt>
                  <c:pt idx="24">
                    <c:v>I кв.</c:v>
                  </c:pt>
                  <c:pt idx="25">
                    <c:v>II кв.</c:v>
                  </c:pt>
                  <c:pt idx="26">
                    <c:v>III кв.</c:v>
                  </c:pt>
                  <c:pt idx="27">
                    <c:v>IV кв.</c:v>
                  </c:pt>
                  <c:pt idx="28">
                    <c:v>I кв.</c:v>
                  </c:pt>
                  <c:pt idx="29">
                    <c:v>II кв.</c:v>
                  </c:pt>
                  <c:pt idx="30">
                    <c:v>III кв.</c:v>
                  </c:pt>
                  <c:pt idx="31">
                    <c:v>IV кв.</c:v>
                  </c:pt>
                  <c:pt idx="32">
                    <c:v>I кв.</c:v>
                  </c:pt>
                  <c:pt idx="33">
                    <c:v>II кв.</c:v>
                  </c:pt>
                  <c:pt idx="34">
                    <c:v>III кв.</c:v>
                  </c:pt>
                  <c:pt idx="35">
                    <c:v>IV кв.</c:v>
                  </c:pt>
                  <c:pt idx="36">
                    <c:v>I кв.</c:v>
                  </c:pt>
                  <c:pt idx="37">
                    <c:v>II кв.</c:v>
                  </c:pt>
                  <c:pt idx="38">
                    <c:v>III кв.</c:v>
                  </c:pt>
                  <c:pt idx="39">
                    <c:v>IV кв.</c:v>
                  </c:pt>
                </c:lvl>
                <c:lvl>
                  <c:pt idx="0">
                    <c:v>2007 г.</c:v>
                  </c:pt>
                  <c:pt idx="4">
                    <c:v>2008 г.</c:v>
                  </c:pt>
                  <c:pt idx="8">
                    <c:v>2009 г.</c:v>
                  </c:pt>
                  <c:pt idx="12">
                    <c:v>2010 г.</c:v>
                  </c:pt>
                  <c:pt idx="16">
                    <c:v>2011 г.</c:v>
                  </c:pt>
                  <c:pt idx="20">
                    <c:v>2012 г.</c:v>
                  </c:pt>
                  <c:pt idx="24">
                    <c:v>2013 г.</c:v>
                  </c:pt>
                  <c:pt idx="28">
                    <c:v>2014 г.</c:v>
                  </c:pt>
                  <c:pt idx="32">
                    <c:v>2015 г.</c:v>
                  </c:pt>
                  <c:pt idx="36">
                    <c:v>2016 г.</c:v>
                  </c:pt>
                </c:lvl>
              </c:multiLvlStrCache>
            </c:multiLvlStrRef>
          </c:cat>
          <c:val>
            <c:numRef>
              <c:f>'[Поквартальеная статистика РФ 2007-н.в.xlsx]Лист1'!$C$18:$AQ$18</c:f>
              <c:numCache>
                <c:formatCode>0.0</c:formatCode>
                <c:ptCount val="41"/>
                <c:pt idx="0">
                  <c:v>117.2</c:v>
                </c:pt>
                <c:pt idx="1">
                  <c:v>121.6</c:v>
                </c:pt>
                <c:pt idx="2">
                  <c:v>115.7</c:v>
                </c:pt>
                <c:pt idx="3">
                  <c:v>118.5</c:v>
                </c:pt>
                <c:pt idx="4">
                  <c:v>128.9</c:v>
                </c:pt>
                <c:pt idx="5">
                  <c:v>118.2</c:v>
                </c:pt>
                <c:pt idx="6">
                  <c:v>109.5</c:v>
                </c:pt>
                <c:pt idx="7">
                  <c:v>103.8</c:v>
                </c:pt>
                <c:pt idx="8">
                  <c:v>83.4</c:v>
                </c:pt>
                <c:pt idx="9">
                  <c:v>83.4</c:v>
                </c:pt>
                <c:pt idx="10">
                  <c:v>85.5</c:v>
                </c:pt>
                <c:pt idx="11">
                  <c:v>92.3</c:v>
                </c:pt>
                <c:pt idx="12">
                  <c:v>97.3</c:v>
                </c:pt>
                <c:pt idx="13">
                  <c:v>106.6</c:v>
                </c:pt>
                <c:pt idx="14">
                  <c:v>108.5</c:v>
                </c:pt>
                <c:pt idx="15">
                  <c:v>104.1</c:v>
                </c:pt>
                <c:pt idx="16">
                  <c:v>102.6</c:v>
                </c:pt>
                <c:pt idx="17">
                  <c:v>99.9</c:v>
                </c:pt>
                <c:pt idx="18">
                  <c:v>105.6</c:v>
                </c:pt>
                <c:pt idx="19">
                  <c:v>109.1</c:v>
                </c:pt>
                <c:pt idx="20">
                  <c:v>105.3</c:v>
                </c:pt>
                <c:pt idx="21">
                  <c:v>105.4</c:v>
                </c:pt>
                <c:pt idx="22">
                  <c:v>102.1</c:v>
                </c:pt>
                <c:pt idx="23">
                  <c:v>99.5</c:v>
                </c:pt>
                <c:pt idx="24">
                  <c:v>104.6</c:v>
                </c:pt>
                <c:pt idx="25">
                  <c:v>98.8</c:v>
                </c:pt>
                <c:pt idx="26">
                  <c:v>98.7</c:v>
                </c:pt>
                <c:pt idx="27">
                  <c:v>100.1</c:v>
                </c:pt>
                <c:pt idx="28">
                  <c:v>95.6</c:v>
                </c:pt>
                <c:pt idx="29">
                  <c:v>97.3</c:v>
                </c:pt>
                <c:pt idx="30">
                  <c:v>98.1</c:v>
                </c:pt>
                <c:pt idx="31">
                  <c:v>98.6</c:v>
                </c:pt>
                <c:pt idx="32">
                  <c:v>94.7</c:v>
                </c:pt>
                <c:pt idx="33">
                  <c:v>94.8</c:v>
                </c:pt>
                <c:pt idx="34">
                  <c:v>95.1</c:v>
                </c:pt>
                <c:pt idx="35">
                  <c:v>95.7</c:v>
                </c:pt>
                <c:pt idx="36">
                  <c:v>95.4</c:v>
                </c:pt>
                <c:pt idx="37">
                  <c:v>91.7</c:v>
                </c:pt>
                <c:pt idx="38">
                  <c:v>96.4</c:v>
                </c:pt>
                <c:pt idx="39">
                  <c:v>98</c:v>
                </c:pt>
                <c:pt idx="40">
                  <c:v>95.7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D6C3-4F36-A5F9-9574186E58F6}"/>
            </c:ext>
          </c:extLst>
        </c:ser>
        <c:ser>
          <c:idx val="2"/>
          <c:order val="1"/>
          <c:tx>
            <c:strRef>
              <c:f>'[Поквартальеная статистика РФ 2007-н.в.xlsx]Лист1'!$B$17</c:f>
              <c:strCache>
                <c:ptCount val="1"/>
                <c:pt idx="0">
                  <c:v>Инвестиции в основной капитал</c:v>
                </c:pt>
              </c:strCache>
            </c:strRef>
          </c:tx>
          <c:spPr>
            <a:ln w="31750">
              <a:solidFill>
                <a:srgbClr val="00B050"/>
              </a:solidFill>
              <a:prstDash val="solid"/>
            </a:ln>
          </c:spPr>
          <c:marker>
            <c:symbol val="none"/>
          </c:marker>
          <c:cat>
            <c:multiLvlStrRef>
              <c:f>'[Поквартальеная статистика РФ 2007-н.в.xlsx]Лист1'!$C$2:$AP$3</c:f>
              <c:multiLvlStrCache>
                <c:ptCount val="40"/>
                <c:lvl>
                  <c:pt idx="0">
                    <c:v>I кв.</c:v>
                  </c:pt>
                  <c:pt idx="1">
                    <c:v>II кв.</c:v>
                  </c:pt>
                  <c:pt idx="2">
                    <c:v>III кв.</c:v>
                  </c:pt>
                  <c:pt idx="3">
                    <c:v>IV кв.</c:v>
                  </c:pt>
                  <c:pt idx="4">
                    <c:v>I кв.</c:v>
                  </c:pt>
                  <c:pt idx="5">
                    <c:v>II кв.</c:v>
                  </c:pt>
                  <c:pt idx="6">
                    <c:v>III кв.</c:v>
                  </c:pt>
                  <c:pt idx="7">
                    <c:v>IV кв.</c:v>
                  </c:pt>
                  <c:pt idx="8">
                    <c:v>I кв.</c:v>
                  </c:pt>
                  <c:pt idx="9">
                    <c:v>II кв.</c:v>
                  </c:pt>
                  <c:pt idx="10">
                    <c:v>III кв.</c:v>
                  </c:pt>
                  <c:pt idx="11">
                    <c:v>IV кв.</c:v>
                  </c:pt>
                  <c:pt idx="12">
                    <c:v>I кв.</c:v>
                  </c:pt>
                  <c:pt idx="13">
                    <c:v>II кв.</c:v>
                  </c:pt>
                  <c:pt idx="14">
                    <c:v>III кв.</c:v>
                  </c:pt>
                  <c:pt idx="15">
                    <c:v>IV кв.</c:v>
                  </c:pt>
                  <c:pt idx="16">
                    <c:v>I кв.</c:v>
                  </c:pt>
                  <c:pt idx="17">
                    <c:v>II кв.</c:v>
                  </c:pt>
                  <c:pt idx="18">
                    <c:v>III кв.</c:v>
                  </c:pt>
                  <c:pt idx="19">
                    <c:v>IV кв.</c:v>
                  </c:pt>
                  <c:pt idx="20">
                    <c:v>I кв.</c:v>
                  </c:pt>
                  <c:pt idx="21">
                    <c:v>II кв.</c:v>
                  </c:pt>
                  <c:pt idx="22">
                    <c:v>III кв.</c:v>
                  </c:pt>
                  <c:pt idx="23">
                    <c:v>IV кв.</c:v>
                  </c:pt>
                  <c:pt idx="24">
                    <c:v>I кв.</c:v>
                  </c:pt>
                  <c:pt idx="25">
                    <c:v>II кв.</c:v>
                  </c:pt>
                  <c:pt idx="26">
                    <c:v>III кв.</c:v>
                  </c:pt>
                  <c:pt idx="27">
                    <c:v>IV кв.</c:v>
                  </c:pt>
                  <c:pt idx="28">
                    <c:v>I кв.</c:v>
                  </c:pt>
                  <c:pt idx="29">
                    <c:v>II кв.</c:v>
                  </c:pt>
                  <c:pt idx="30">
                    <c:v>III кв.</c:v>
                  </c:pt>
                  <c:pt idx="31">
                    <c:v>IV кв.</c:v>
                  </c:pt>
                  <c:pt idx="32">
                    <c:v>I кв.</c:v>
                  </c:pt>
                  <c:pt idx="33">
                    <c:v>II кв.</c:v>
                  </c:pt>
                  <c:pt idx="34">
                    <c:v>III кв.</c:v>
                  </c:pt>
                  <c:pt idx="35">
                    <c:v>IV кв.</c:v>
                  </c:pt>
                  <c:pt idx="36">
                    <c:v>I кв.</c:v>
                  </c:pt>
                  <c:pt idx="37">
                    <c:v>II кв.</c:v>
                  </c:pt>
                  <c:pt idx="38">
                    <c:v>III кв.</c:v>
                  </c:pt>
                  <c:pt idx="39">
                    <c:v>IV кв.</c:v>
                  </c:pt>
                </c:lvl>
                <c:lvl>
                  <c:pt idx="0">
                    <c:v>2007 г.</c:v>
                  </c:pt>
                  <c:pt idx="4">
                    <c:v>2008 г.</c:v>
                  </c:pt>
                  <c:pt idx="8">
                    <c:v>2009 г.</c:v>
                  </c:pt>
                  <c:pt idx="12">
                    <c:v>2010 г.</c:v>
                  </c:pt>
                  <c:pt idx="16">
                    <c:v>2011 г.</c:v>
                  </c:pt>
                  <c:pt idx="20">
                    <c:v>2012 г.</c:v>
                  </c:pt>
                  <c:pt idx="24">
                    <c:v>2013 г.</c:v>
                  </c:pt>
                  <c:pt idx="28">
                    <c:v>2014 г.</c:v>
                  </c:pt>
                  <c:pt idx="32">
                    <c:v>2015 г.</c:v>
                  </c:pt>
                  <c:pt idx="36">
                    <c:v>2016 г.</c:v>
                  </c:pt>
                </c:lvl>
              </c:multiLvlStrCache>
            </c:multiLvlStrRef>
          </c:cat>
          <c:val>
            <c:numRef>
              <c:f>'[Поквартальеная статистика РФ 2007-н.в.xlsx]Лист1'!$C$17:$AQ$17</c:f>
              <c:numCache>
                <c:formatCode>0.0</c:formatCode>
                <c:ptCount val="41"/>
                <c:pt idx="0">
                  <c:v>122.8</c:v>
                </c:pt>
                <c:pt idx="1">
                  <c:v>124.2</c:v>
                </c:pt>
                <c:pt idx="2">
                  <c:v>118.2</c:v>
                </c:pt>
                <c:pt idx="3">
                  <c:v>120.6</c:v>
                </c:pt>
                <c:pt idx="4">
                  <c:v>123.6</c:v>
                </c:pt>
                <c:pt idx="5">
                  <c:v>117.4</c:v>
                </c:pt>
                <c:pt idx="6">
                  <c:v>111.7</c:v>
                </c:pt>
                <c:pt idx="7">
                  <c:v>97.7</c:v>
                </c:pt>
                <c:pt idx="8">
                  <c:v>82.7</c:v>
                </c:pt>
                <c:pt idx="9">
                  <c:v>77.2</c:v>
                </c:pt>
                <c:pt idx="10">
                  <c:v>81.8</c:v>
                </c:pt>
                <c:pt idx="11">
                  <c:v>90.6</c:v>
                </c:pt>
                <c:pt idx="12">
                  <c:v>95.2</c:v>
                </c:pt>
                <c:pt idx="13">
                  <c:v>105.6</c:v>
                </c:pt>
                <c:pt idx="14">
                  <c:v>105.3</c:v>
                </c:pt>
                <c:pt idx="15">
                  <c:v>111.1</c:v>
                </c:pt>
                <c:pt idx="16">
                  <c:v>99.2</c:v>
                </c:pt>
                <c:pt idx="17">
                  <c:v>105</c:v>
                </c:pt>
                <c:pt idx="18">
                  <c:v>108.2</c:v>
                </c:pt>
                <c:pt idx="19">
                  <c:v>113.6</c:v>
                </c:pt>
                <c:pt idx="20">
                  <c:v>116.5</c:v>
                </c:pt>
                <c:pt idx="21">
                  <c:v>110.5</c:v>
                </c:pt>
                <c:pt idx="22">
                  <c:v>105.3</c:v>
                </c:pt>
                <c:pt idx="23">
                  <c:v>102.1</c:v>
                </c:pt>
                <c:pt idx="24">
                  <c:v>100.1</c:v>
                </c:pt>
                <c:pt idx="25">
                  <c:v>98.8</c:v>
                </c:pt>
                <c:pt idx="26">
                  <c:v>99.7</c:v>
                </c:pt>
                <c:pt idx="27">
                  <c:v>100.4</c:v>
                </c:pt>
                <c:pt idx="28">
                  <c:v>96.9</c:v>
                </c:pt>
                <c:pt idx="29">
                  <c:v>100.2</c:v>
                </c:pt>
                <c:pt idx="30">
                  <c:v>99.8</c:v>
                </c:pt>
                <c:pt idx="31">
                  <c:v>97.3</c:v>
                </c:pt>
                <c:pt idx="32">
                  <c:v>95.2</c:v>
                </c:pt>
                <c:pt idx="33">
                  <c:v>91.2</c:v>
                </c:pt>
                <c:pt idx="34">
                  <c:v>87</c:v>
                </c:pt>
                <c:pt idx="35">
                  <c:v>93.6</c:v>
                </c:pt>
                <c:pt idx="36">
                  <c:v>98.8</c:v>
                </c:pt>
                <c:pt idx="37">
                  <c:v>98.5</c:v>
                </c:pt>
                <c:pt idx="38">
                  <c:v>100.5</c:v>
                </c:pt>
                <c:pt idx="39">
                  <c:v>98.7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2-D6C3-4F36-A5F9-9574186E58F6}"/>
            </c:ext>
          </c:extLst>
        </c:ser>
        <c:ser>
          <c:idx val="1"/>
          <c:order val="2"/>
          <c:tx>
            <c:strRef>
              <c:f>'[Поквартальеная статистика РФ 2007-н.в.xlsx]Лист1'!$B$19</c:f>
              <c:strCache>
                <c:ptCount val="1"/>
                <c:pt idx="0">
                  <c:v>Ввод в действие жилых домов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none"/>
          </c:marker>
          <c:cat>
            <c:multiLvlStrRef>
              <c:f>'[Поквартальеная статистика РФ 2007-н.в.xlsx]Лист1'!$C$2:$AP$3</c:f>
              <c:multiLvlStrCache>
                <c:ptCount val="40"/>
                <c:lvl>
                  <c:pt idx="0">
                    <c:v>I кв.</c:v>
                  </c:pt>
                  <c:pt idx="1">
                    <c:v>II кв.</c:v>
                  </c:pt>
                  <c:pt idx="2">
                    <c:v>III кв.</c:v>
                  </c:pt>
                  <c:pt idx="3">
                    <c:v>IV кв.</c:v>
                  </c:pt>
                  <c:pt idx="4">
                    <c:v>I кв.</c:v>
                  </c:pt>
                  <c:pt idx="5">
                    <c:v>II кв.</c:v>
                  </c:pt>
                  <c:pt idx="6">
                    <c:v>III кв.</c:v>
                  </c:pt>
                  <c:pt idx="7">
                    <c:v>IV кв.</c:v>
                  </c:pt>
                  <c:pt idx="8">
                    <c:v>I кв.</c:v>
                  </c:pt>
                  <c:pt idx="9">
                    <c:v>II кв.</c:v>
                  </c:pt>
                  <c:pt idx="10">
                    <c:v>III кв.</c:v>
                  </c:pt>
                  <c:pt idx="11">
                    <c:v>IV кв.</c:v>
                  </c:pt>
                  <c:pt idx="12">
                    <c:v>I кв.</c:v>
                  </c:pt>
                  <c:pt idx="13">
                    <c:v>II кв.</c:v>
                  </c:pt>
                  <c:pt idx="14">
                    <c:v>III кв.</c:v>
                  </c:pt>
                  <c:pt idx="15">
                    <c:v>IV кв.</c:v>
                  </c:pt>
                  <c:pt idx="16">
                    <c:v>I кв.</c:v>
                  </c:pt>
                  <c:pt idx="17">
                    <c:v>II кв.</c:v>
                  </c:pt>
                  <c:pt idx="18">
                    <c:v>III кв.</c:v>
                  </c:pt>
                  <c:pt idx="19">
                    <c:v>IV кв.</c:v>
                  </c:pt>
                  <c:pt idx="20">
                    <c:v>I кв.</c:v>
                  </c:pt>
                  <c:pt idx="21">
                    <c:v>II кв.</c:v>
                  </c:pt>
                  <c:pt idx="22">
                    <c:v>III кв.</c:v>
                  </c:pt>
                  <c:pt idx="23">
                    <c:v>IV кв.</c:v>
                  </c:pt>
                  <c:pt idx="24">
                    <c:v>I кв.</c:v>
                  </c:pt>
                  <c:pt idx="25">
                    <c:v>II кв.</c:v>
                  </c:pt>
                  <c:pt idx="26">
                    <c:v>III кв.</c:v>
                  </c:pt>
                  <c:pt idx="27">
                    <c:v>IV кв.</c:v>
                  </c:pt>
                  <c:pt idx="28">
                    <c:v>I кв.</c:v>
                  </c:pt>
                  <c:pt idx="29">
                    <c:v>II кв.</c:v>
                  </c:pt>
                  <c:pt idx="30">
                    <c:v>III кв.</c:v>
                  </c:pt>
                  <c:pt idx="31">
                    <c:v>IV кв.</c:v>
                  </c:pt>
                  <c:pt idx="32">
                    <c:v>I кв.</c:v>
                  </c:pt>
                  <c:pt idx="33">
                    <c:v>II кв.</c:v>
                  </c:pt>
                  <c:pt idx="34">
                    <c:v>III кв.</c:v>
                  </c:pt>
                  <c:pt idx="35">
                    <c:v>IV кв.</c:v>
                  </c:pt>
                  <c:pt idx="36">
                    <c:v>I кв.</c:v>
                  </c:pt>
                  <c:pt idx="37">
                    <c:v>II кв.</c:v>
                  </c:pt>
                  <c:pt idx="38">
                    <c:v>III кв.</c:v>
                  </c:pt>
                  <c:pt idx="39">
                    <c:v>IV кв.</c:v>
                  </c:pt>
                </c:lvl>
                <c:lvl>
                  <c:pt idx="0">
                    <c:v>2007 г.</c:v>
                  </c:pt>
                  <c:pt idx="4">
                    <c:v>2008 г.</c:v>
                  </c:pt>
                  <c:pt idx="8">
                    <c:v>2009 г.</c:v>
                  </c:pt>
                  <c:pt idx="12">
                    <c:v>2010 г.</c:v>
                  </c:pt>
                  <c:pt idx="16">
                    <c:v>2011 г.</c:v>
                  </c:pt>
                  <c:pt idx="20">
                    <c:v>2012 г.</c:v>
                  </c:pt>
                  <c:pt idx="24">
                    <c:v>2013 г.</c:v>
                  </c:pt>
                  <c:pt idx="28">
                    <c:v>2014 г.</c:v>
                  </c:pt>
                  <c:pt idx="32">
                    <c:v>2015 г.</c:v>
                  </c:pt>
                  <c:pt idx="36">
                    <c:v>2016 г.</c:v>
                  </c:pt>
                </c:lvl>
              </c:multiLvlStrCache>
            </c:multiLvlStrRef>
          </c:cat>
          <c:val>
            <c:numRef>
              <c:f>'[Поквартальеная статистика РФ 2007-н.в.xlsx]Лист1'!$C$19:$AQ$19</c:f>
              <c:numCache>
                <c:formatCode>0.0</c:formatCode>
                <c:ptCount val="41"/>
                <c:pt idx="0">
                  <c:v>150.80000000000001</c:v>
                </c:pt>
                <c:pt idx="1">
                  <c:v>123.3</c:v>
                </c:pt>
                <c:pt idx="2">
                  <c:v>125.6</c:v>
                </c:pt>
                <c:pt idx="3">
                  <c:v>110.8</c:v>
                </c:pt>
                <c:pt idx="4">
                  <c:v>107.6</c:v>
                </c:pt>
                <c:pt idx="5">
                  <c:v>98.8</c:v>
                </c:pt>
                <c:pt idx="6">
                  <c:v>105.5</c:v>
                </c:pt>
                <c:pt idx="7">
                  <c:v>105.7</c:v>
                </c:pt>
                <c:pt idx="8">
                  <c:v>102.5</c:v>
                </c:pt>
                <c:pt idx="9">
                  <c:v>97.2</c:v>
                </c:pt>
                <c:pt idx="10">
                  <c:v>98.8</c:v>
                </c:pt>
                <c:pt idx="11">
                  <c:v>86.4</c:v>
                </c:pt>
                <c:pt idx="12">
                  <c:v>91.1</c:v>
                </c:pt>
                <c:pt idx="13">
                  <c:v>107.3</c:v>
                </c:pt>
                <c:pt idx="14">
                  <c:v>85.7</c:v>
                </c:pt>
                <c:pt idx="15">
                  <c:v>102.3</c:v>
                </c:pt>
                <c:pt idx="16">
                  <c:v>97.6</c:v>
                </c:pt>
                <c:pt idx="17">
                  <c:v>95.2</c:v>
                </c:pt>
                <c:pt idx="18">
                  <c:v>114.3</c:v>
                </c:pt>
                <c:pt idx="19">
                  <c:v>111.8</c:v>
                </c:pt>
                <c:pt idx="20">
                  <c:v>105.5</c:v>
                </c:pt>
                <c:pt idx="21">
                  <c:v>98.6</c:v>
                </c:pt>
                <c:pt idx="22">
                  <c:v>104.2</c:v>
                </c:pt>
                <c:pt idx="23">
                  <c:v>109.1</c:v>
                </c:pt>
                <c:pt idx="24">
                  <c:v>106.5</c:v>
                </c:pt>
                <c:pt idx="25">
                  <c:v>108.3</c:v>
                </c:pt>
                <c:pt idx="26">
                  <c:v>118.5</c:v>
                </c:pt>
                <c:pt idx="27">
                  <c:v>102.1</c:v>
                </c:pt>
                <c:pt idx="28">
                  <c:v>130.9</c:v>
                </c:pt>
                <c:pt idx="29">
                  <c:v>128.9</c:v>
                </c:pt>
                <c:pt idx="30">
                  <c:v>116.4</c:v>
                </c:pt>
                <c:pt idx="31">
                  <c:v>110.9</c:v>
                </c:pt>
                <c:pt idx="32">
                  <c:v>133.5</c:v>
                </c:pt>
                <c:pt idx="33">
                  <c:v>102</c:v>
                </c:pt>
                <c:pt idx="34">
                  <c:v>93.8</c:v>
                </c:pt>
                <c:pt idx="35">
                  <c:v>92.5</c:v>
                </c:pt>
                <c:pt idx="36">
                  <c:v>83.6</c:v>
                </c:pt>
                <c:pt idx="37">
                  <c:v>99.3</c:v>
                </c:pt>
                <c:pt idx="38">
                  <c:v>101.8</c:v>
                </c:pt>
                <c:pt idx="39">
                  <c:v>93.2</c:v>
                </c:pt>
                <c:pt idx="40">
                  <c:v>84.2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1596416"/>
        <c:axId val="173883776"/>
      </c:lineChart>
      <c:catAx>
        <c:axId val="1715964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noFill/>
        </c:spPr>
        <c:crossAx val="173883776"/>
        <c:crossesAt val="100"/>
        <c:auto val="1"/>
        <c:lblAlgn val="ctr"/>
        <c:lblOffset val="100"/>
        <c:noMultiLvlLbl val="0"/>
      </c:catAx>
      <c:valAx>
        <c:axId val="173883776"/>
        <c:scaling>
          <c:orientation val="minMax"/>
          <c:max val="135"/>
          <c:min val="70"/>
        </c:scaling>
        <c:delete val="0"/>
        <c:axPos val="l"/>
        <c:numFmt formatCode="0.0" sourceLinked="1"/>
        <c:majorTickMark val="out"/>
        <c:minorTickMark val="none"/>
        <c:tickLblPos val="nextTo"/>
        <c:crossAx val="17159641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33455726074904024"/>
          <c:y val="2.503288318238607E-2"/>
          <c:w val="0.34081514608349822"/>
          <c:h val="0.15392627801725262"/>
        </c:manualLayout>
      </c:layout>
      <c:overlay val="1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'[Поквартальеная статистика РФ 2007-н.в.xlsx]Лист1'!$B$239</c:f>
              <c:strCache>
                <c:ptCount val="1"/>
                <c:pt idx="0">
                  <c:v>Добыча полезных ископаемых</c:v>
                </c:pt>
              </c:strCache>
            </c:strRef>
          </c:tx>
          <c:spPr>
            <a:ln w="19050">
              <a:solidFill>
                <a:srgbClr val="0070C0"/>
              </a:solidFill>
            </a:ln>
          </c:spPr>
          <c:marker>
            <c:symbol val="none"/>
          </c:marker>
          <c:cat>
            <c:strRef>
              <c:f>'[Поквартальеная статистика РФ 2007-н.в.xlsx]Лист1'!$C$176:$L$176</c:f>
              <c:strCache>
                <c:ptCount val="10"/>
                <c:pt idx="0">
                  <c:v>2007 г.</c:v>
                </c:pt>
                <c:pt idx="1">
                  <c:v>2008 г.</c:v>
                </c:pt>
                <c:pt idx="2">
                  <c:v>2009 г.</c:v>
                </c:pt>
                <c:pt idx="3">
                  <c:v>2010 г.</c:v>
                </c:pt>
                <c:pt idx="4">
                  <c:v>2011 г.</c:v>
                </c:pt>
                <c:pt idx="5">
                  <c:v>2012 г.</c:v>
                </c:pt>
                <c:pt idx="6">
                  <c:v>2013 г.</c:v>
                </c:pt>
                <c:pt idx="7">
                  <c:v>2014 г.</c:v>
                </c:pt>
                <c:pt idx="8">
                  <c:v>2015 г.</c:v>
                </c:pt>
                <c:pt idx="9">
                  <c:v>2016 г.</c:v>
                </c:pt>
              </c:strCache>
            </c:strRef>
          </c:cat>
          <c:val>
            <c:numRef>
              <c:f>'[Поквартальеная статистика РФ 2007-н.в.xlsx]Лист1'!$C$239:$L$239</c:f>
              <c:numCache>
                <c:formatCode>0.0</c:formatCode>
                <c:ptCount val="10"/>
                <c:pt idx="0">
                  <c:v>103.3</c:v>
                </c:pt>
                <c:pt idx="1">
                  <c:v>100.4</c:v>
                </c:pt>
                <c:pt idx="2">
                  <c:v>97.2</c:v>
                </c:pt>
                <c:pt idx="3">
                  <c:v>103.8</c:v>
                </c:pt>
                <c:pt idx="4">
                  <c:v>101.8</c:v>
                </c:pt>
                <c:pt idx="5">
                  <c:v>101</c:v>
                </c:pt>
                <c:pt idx="6">
                  <c:v>101.1</c:v>
                </c:pt>
                <c:pt idx="7">
                  <c:v>101.4</c:v>
                </c:pt>
                <c:pt idx="8">
                  <c:v>100.3</c:v>
                </c:pt>
                <c:pt idx="9">
                  <c:v>102.5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05C5-4A13-8FEE-CA73040A11BC}"/>
            </c:ext>
          </c:extLst>
        </c:ser>
        <c:ser>
          <c:idx val="1"/>
          <c:order val="1"/>
          <c:tx>
            <c:strRef>
              <c:f>'[Поквартальеная статистика РФ 2007-н.в.xlsx]Лист1'!$B$240</c:f>
              <c:strCache>
                <c:ptCount val="1"/>
                <c:pt idx="0">
                  <c:v>Обрабатывающие производства</c:v>
                </c:pt>
              </c:strCache>
            </c:strRef>
          </c:tx>
          <c:spPr>
            <a:ln w="19050">
              <a:solidFill>
                <a:srgbClr val="C00000"/>
              </a:solidFill>
            </a:ln>
          </c:spPr>
          <c:marker>
            <c:symbol val="none"/>
          </c:marker>
          <c:cat>
            <c:strRef>
              <c:f>'[Поквартальеная статистика РФ 2007-н.в.xlsx]Лист1'!$C$176:$L$176</c:f>
              <c:strCache>
                <c:ptCount val="10"/>
                <c:pt idx="0">
                  <c:v>2007 г.</c:v>
                </c:pt>
                <c:pt idx="1">
                  <c:v>2008 г.</c:v>
                </c:pt>
                <c:pt idx="2">
                  <c:v>2009 г.</c:v>
                </c:pt>
                <c:pt idx="3">
                  <c:v>2010 г.</c:v>
                </c:pt>
                <c:pt idx="4">
                  <c:v>2011 г.</c:v>
                </c:pt>
                <c:pt idx="5">
                  <c:v>2012 г.</c:v>
                </c:pt>
                <c:pt idx="6">
                  <c:v>2013 г.</c:v>
                </c:pt>
                <c:pt idx="7">
                  <c:v>2014 г.</c:v>
                </c:pt>
                <c:pt idx="8">
                  <c:v>2015 г.</c:v>
                </c:pt>
                <c:pt idx="9">
                  <c:v>2016 г.</c:v>
                </c:pt>
              </c:strCache>
            </c:strRef>
          </c:cat>
          <c:val>
            <c:numRef>
              <c:f>'[Поквартальеная статистика РФ 2007-н.в.xlsx]Лист1'!$C$240:$L$240</c:f>
              <c:numCache>
                <c:formatCode>0.0</c:formatCode>
                <c:ptCount val="10"/>
                <c:pt idx="0">
                  <c:v>110.5</c:v>
                </c:pt>
                <c:pt idx="1">
                  <c:v>100.5</c:v>
                </c:pt>
                <c:pt idx="2">
                  <c:v>84.8</c:v>
                </c:pt>
                <c:pt idx="3">
                  <c:v>110.6</c:v>
                </c:pt>
                <c:pt idx="4">
                  <c:v>108</c:v>
                </c:pt>
                <c:pt idx="5">
                  <c:v>105.1</c:v>
                </c:pt>
                <c:pt idx="6">
                  <c:v>100.5</c:v>
                </c:pt>
                <c:pt idx="7">
                  <c:v>102.1</c:v>
                </c:pt>
                <c:pt idx="8">
                  <c:v>94.6</c:v>
                </c:pt>
                <c:pt idx="9">
                  <c:v>100.1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1-05C5-4A13-8FEE-CA73040A11BC}"/>
            </c:ext>
          </c:extLst>
        </c:ser>
        <c:ser>
          <c:idx val="2"/>
          <c:order val="2"/>
          <c:tx>
            <c:strRef>
              <c:f>'[Поквартальеная статистика РФ 2007-н.в.xlsx]Лист1'!$B$255</c:f>
              <c:strCache>
                <c:ptCount val="1"/>
                <c:pt idx="0">
                  <c:v>Производство и распределение  электроэнергии, газа и воды</c:v>
                </c:pt>
              </c:strCache>
            </c:strRef>
          </c:tx>
          <c:spPr>
            <a:ln w="19050">
              <a:solidFill>
                <a:srgbClr val="00B050"/>
              </a:solidFill>
            </a:ln>
          </c:spPr>
          <c:marker>
            <c:symbol val="none"/>
          </c:marker>
          <c:cat>
            <c:strRef>
              <c:f>'[Поквартальеная статистика РФ 2007-н.в.xlsx]Лист1'!$C$176:$L$176</c:f>
              <c:strCache>
                <c:ptCount val="10"/>
                <c:pt idx="0">
                  <c:v>2007 г.</c:v>
                </c:pt>
                <c:pt idx="1">
                  <c:v>2008 г.</c:v>
                </c:pt>
                <c:pt idx="2">
                  <c:v>2009 г.</c:v>
                </c:pt>
                <c:pt idx="3">
                  <c:v>2010 г.</c:v>
                </c:pt>
                <c:pt idx="4">
                  <c:v>2011 г.</c:v>
                </c:pt>
                <c:pt idx="5">
                  <c:v>2012 г.</c:v>
                </c:pt>
                <c:pt idx="6">
                  <c:v>2013 г.</c:v>
                </c:pt>
                <c:pt idx="7">
                  <c:v>2014 г.</c:v>
                </c:pt>
                <c:pt idx="8">
                  <c:v>2015 г.</c:v>
                </c:pt>
                <c:pt idx="9">
                  <c:v>2016 г.</c:v>
                </c:pt>
              </c:strCache>
            </c:strRef>
          </c:cat>
          <c:val>
            <c:numRef>
              <c:f>'[Поквартальеная статистика РФ 2007-н.в.xlsx]Лист1'!$C$255:$L$255</c:f>
              <c:numCache>
                <c:formatCode>0.0</c:formatCode>
                <c:ptCount val="10"/>
                <c:pt idx="0">
                  <c:v>99.4</c:v>
                </c:pt>
                <c:pt idx="1">
                  <c:v>100.6</c:v>
                </c:pt>
                <c:pt idx="2">
                  <c:v>97.3</c:v>
                </c:pt>
                <c:pt idx="3">
                  <c:v>102.2</c:v>
                </c:pt>
                <c:pt idx="4">
                  <c:v>100.2</c:v>
                </c:pt>
                <c:pt idx="5">
                  <c:v>101.3</c:v>
                </c:pt>
                <c:pt idx="6">
                  <c:v>97.5</c:v>
                </c:pt>
                <c:pt idx="7">
                  <c:v>99.9</c:v>
                </c:pt>
                <c:pt idx="8">
                  <c:v>98.4</c:v>
                </c:pt>
                <c:pt idx="9">
                  <c:v>101.5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2-05C5-4A13-8FEE-CA73040A11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3894272"/>
        <c:axId val="173896064"/>
      </c:lineChart>
      <c:catAx>
        <c:axId val="17389427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crossAx val="173896064"/>
        <c:crossesAt val="100"/>
        <c:auto val="1"/>
        <c:lblAlgn val="ctr"/>
        <c:lblOffset val="100"/>
        <c:noMultiLvlLbl val="0"/>
      </c:catAx>
      <c:valAx>
        <c:axId val="173896064"/>
        <c:scaling>
          <c:orientation val="minMax"/>
          <c:min val="80"/>
        </c:scaling>
        <c:delete val="0"/>
        <c:axPos val="l"/>
        <c:numFmt formatCode="0.0" sourceLinked="1"/>
        <c:majorTickMark val="out"/>
        <c:minorTickMark val="none"/>
        <c:tickLblPos val="nextTo"/>
        <c:crossAx val="17389427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0745943392868154"/>
          <c:y val="0.61021912746103069"/>
          <c:w val="0.459860752602749"/>
          <c:h val="0.24081553391500521"/>
        </c:manualLayout>
      </c:layout>
      <c:overlay val="1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'[Поквартальеная статистика РФ 2007-н.в.xlsx]Лист1'!$B$241</c:f>
              <c:strCache>
                <c:ptCount val="1"/>
                <c:pt idx="0">
                  <c:v>Пищевая промышленность</c:v>
                </c:pt>
              </c:strCache>
            </c:strRef>
          </c:tx>
          <c:spPr>
            <a:ln w="19050">
              <a:solidFill>
                <a:srgbClr val="0070C0"/>
              </a:solidFill>
            </a:ln>
          </c:spPr>
          <c:marker>
            <c:symbol val="none"/>
          </c:marker>
          <c:cat>
            <c:strRef>
              <c:f>'[Поквартальеная статистика РФ 2007-н.в.xlsx]Лист1'!$C$176:$L$176</c:f>
              <c:strCache>
                <c:ptCount val="10"/>
                <c:pt idx="0">
                  <c:v>2007 г.</c:v>
                </c:pt>
                <c:pt idx="1">
                  <c:v>2008 г.</c:v>
                </c:pt>
                <c:pt idx="2">
                  <c:v>2009 г.</c:v>
                </c:pt>
                <c:pt idx="3">
                  <c:v>2010 г.</c:v>
                </c:pt>
                <c:pt idx="4">
                  <c:v>2011 г.</c:v>
                </c:pt>
                <c:pt idx="5">
                  <c:v>2012 г.</c:v>
                </c:pt>
                <c:pt idx="6">
                  <c:v>2013 г.</c:v>
                </c:pt>
                <c:pt idx="7">
                  <c:v>2014 г.</c:v>
                </c:pt>
                <c:pt idx="8">
                  <c:v>2015 г.</c:v>
                </c:pt>
                <c:pt idx="9">
                  <c:v>2016 г.</c:v>
                </c:pt>
              </c:strCache>
            </c:strRef>
          </c:cat>
          <c:val>
            <c:numRef>
              <c:f>'[Поквартальеная статистика РФ 2007-н.в.xlsx]Лист1'!$C$241:$L$241</c:f>
              <c:numCache>
                <c:formatCode>General</c:formatCode>
                <c:ptCount val="10"/>
                <c:pt idx="0">
                  <c:v>107.3</c:v>
                </c:pt>
                <c:pt idx="1">
                  <c:v>101.9</c:v>
                </c:pt>
                <c:pt idx="2">
                  <c:v>100.3</c:v>
                </c:pt>
                <c:pt idx="3">
                  <c:v>103.2</c:v>
                </c:pt>
                <c:pt idx="4">
                  <c:v>103.9</c:v>
                </c:pt>
                <c:pt idx="5">
                  <c:v>104.1</c:v>
                </c:pt>
                <c:pt idx="6">
                  <c:v>100.6</c:v>
                </c:pt>
                <c:pt idx="7">
                  <c:v>102.5</c:v>
                </c:pt>
                <c:pt idx="8">
                  <c:v>102</c:v>
                </c:pt>
                <c:pt idx="9">
                  <c:v>102.4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B6A8-416F-9B80-A537CC658EDD}"/>
            </c:ext>
          </c:extLst>
        </c:ser>
        <c:ser>
          <c:idx val="1"/>
          <c:order val="1"/>
          <c:tx>
            <c:strRef>
              <c:f>'[Поквартальеная статистика РФ 2007-н.в.xlsx]Лист1'!$B$274</c:f>
              <c:strCache>
                <c:ptCount val="1"/>
                <c:pt idx="0">
                  <c:v>Легкая промышленность</c:v>
                </c:pt>
              </c:strCache>
            </c:strRef>
          </c:tx>
          <c:spPr>
            <a:ln w="19050">
              <a:solidFill>
                <a:srgbClr val="C00000"/>
              </a:solidFill>
            </a:ln>
          </c:spPr>
          <c:marker>
            <c:symbol val="none"/>
          </c:marker>
          <c:cat>
            <c:strRef>
              <c:f>'[Поквартальеная статистика РФ 2007-н.в.xlsx]Лист1'!$C$176:$L$176</c:f>
              <c:strCache>
                <c:ptCount val="10"/>
                <c:pt idx="0">
                  <c:v>2007 г.</c:v>
                </c:pt>
                <c:pt idx="1">
                  <c:v>2008 г.</c:v>
                </c:pt>
                <c:pt idx="2">
                  <c:v>2009 г.</c:v>
                </c:pt>
                <c:pt idx="3">
                  <c:v>2010 г.</c:v>
                </c:pt>
                <c:pt idx="4">
                  <c:v>2011 г.</c:v>
                </c:pt>
                <c:pt idx="5">
                  <c:v>2012 г.</c:v>
                </c:pt>
                <c:pt idx="6">
                  <c:v>2013 г.</c:v>
                </c:pt>
                <c:pt idx="7">
                  <c:v>2014 г.</c:v>
                </c:pt>
                <c:pt idx="8">
                  <c:v>2015 г.</c:v>
                </c:pt>
                <c:pt idx="9">
                  <c:v>2016 г.</c:v>
                </c:pt>
              </c:strCache>
            </c:strRef>
          </c:cat>
          <c:val>
            <c:numRef>
              <c:f>'[Поквартальеная статистика РФ 2007-н.в.xlsx]Лист1'!$D$275:$M$275</c:f>
              <c:numCache>
                <c:formatCode>0.0</c:formatCode>
                <c:ptCount val="10"/>
                <c:pt idx="0">
                  <c:v>99.823243912249055</c:v>
                </c:pt>
                <c:pt idx="1">
                  <c:v>95.203373808286955</c:v>
                </c:pt>
                <c:pt idx="2">
                  <c:v>85.708889146293004</c:v>
                </c:pt>
                <c:pt idx="3">
                  <c:v>110.38049250280125</c:v>
                </c:pt>
                <c:pt idx="4">
                  <c:v>101.5578659530251</c:v>
                </c:pt>
                <c:pt idx="5">
                  <c:v>100.28146567073497</c:v>
                </c:pt>
                <c:pt idx="6">
                  <c:v>102.9299849911729</c:v>
                </c:pt>
                <c:pt idx="7">
                  <c:v>97.45612235501801</c:v>
                </c:pt>
                <c:pt idx="8">
                  <c:v>88.343762331079759</c:v>
                </c:pt>
                <c:pt idx="9">
                  <c:v>105.27074049197999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1-B6A8-416F-9B80-A537CC658ED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4036480"/>
        <c:axId val="174038016"/>
      </c:lineChart>
      <c:catAx>
        <c:axId val="17403648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crossAx val="174038016"/>
        <c:crossesAt val="100"/>
        <c:auto val="1"/>
        <c:lblAlgn val="ctr"/>
        <c:lblOffset val="100"/>
        <c:noMultiLvlLbl val="0"/>
      </c:catAx>
      <c:valAx>
        <c:axId val="174038016"/>
        <c:scaling>
          <c:orientation val="minMax"/>
          <c:min val="80"/>
        </c:scaling>
        <c:delete val="0"/>
        <c:axPos val="l"/>
        <c:numFmt formatCode="General" sourceLinked="1"/>
        <c:majorTickMark val="out"/>
        <c:minorTickMark val="none"/>
        <c:tickLblPos val="nextTo"/>
        <c:crossAx val="17403648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4309574048342"/>
          <c:y val="5.3515265706469049E-2"/>
          <c:w val="0.33293911790437963"/>
          <c:h val="0.12101663165702908"/>
        </c:manualLayout>
      </c:layout>
      <c:overlay val="1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'[Поквартальеная статистика РФ 2007-н.в.xlsx]Лист1'!$B$266</c:f>
              <c:strCache>
                <c:ptCount val="1"/>
                <c:pt idx="0">
                  <c:v>Деревопереработка</c:v>
                </c:pt>
              </c:strCache>
            </c:strRef>
          </c:tx>
          <c:spPr>
            <a:ln w="19050">
              <a:solidFill>
                <a:srgbClr val="0070C0"/>
              </a:solidFill>
            </a:ln>
          </c:spPr>
          <c:marker>
            <c:symbol val="none"/>
          </c:marker>
          <c:cat>
            <c:strRef>
              <c:f>'[Поквартальеная статистика РФ 2007-н.в.xlsx]Лист1'!$C$176:$L$176</c:f>
              <c:strCache>
                <c:ptCount val="10"/>
                <c:pt idx="0">
                  <c:v>2007 г.</c:v>
                </c:pt>
                <c:pt idx="1">
                  <c:v>2008 г.</c:v>
                </c:pt>
                <c:pt idx="2">
                  <c:v>2009 г.</c:v>
                </c:pt>
                <c:pt idx="3">
                  <c:v>2010 г.</c:v>
                </c:pt>
                <c:pt idx="4">
                  <c:v>2011 г.</c:v>
                </c:pt>
                <c:pt idx="5">
                  <c:v>2012 г.</c:v>
                </c:pt>
                <c:pt idx="6">
                  <c:v>2013 г.</c:v>
                </c:pt>
                <c:pt idx="7">
                  <c:v>2014 г.</c:v>
                </c:pt>
                <c:pt idx="8">
                  <c:v>2015 г.</c:v>
                </c:pt>
                <c:pt idx="9">
                  <c:v>2016 г.</c:v>
                </c:pt>
              </c:strCache>
            </c:strRef>
          </c:cat>
          <c:val>
            <c:numRef>
              <c:f>'[Поквартальеная статистика РФ 2007-н.в.xlsx]Лист1'!$D$266:$M$266</c:f>
              <c:numCache>
                <c:formatCode>0.0</c:formatCode>
                <c:ptCount val="10"/>
                <c:pt idx="0">
                  <c:v>108.17847795294881</c:v>
                </c:pt>
                <c:pt idx="1">
                  <c:v>100.17879078052361</c:v>
                </c:pt>
                <c:pt idx="2">
                  <c:v>81.924305756095833</c:v>
                </c:pt>
                <c:pt idx="3">
                  <c:v>106.02156908994709</c:v>
                </c:pt>
                <c:pt idx="4">
                  <c:v>107.62253395749244</c:v>
                </c:pt>
                <c:pt idx="5">
                  <c:v>102.81772712902384</c:v>
                </c:pt>
                <c:pt idx="6">
                  <c:v>98.6366938758853</c:v>
                </c:pt>
                <c:pt idx="7">
                  <c:v>98.585974775448776</c:v>
                </c:pt>
                <c:pt idx="8">
                  <c:v>94.58654606822229</c:v>
                </c:pt>
                <c:pt idx="9">
                  <c:v>101.42442612539683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8CC6-4789-A45F-3FF9DD756778}"/>
            </c:ext>
          </c:extLst>
        </c:ser>
        <c:ser>
          <c:idx val="1"/>
          <c:order val="1"/>
          <c:tx>
            <c:strRef>
              <c:f>'[Поквартальеная статистика РФ 2007-н.в.xlsx]Лист1'!$B$250</c:f>
              <c:strCache>
                <c:ptCount val="1"/>
                <c:pt idx="0">
                  <c:v>Металлургия</c:v>
                </c:pt>
              </c:strCache>
            </c:strRef>
          </c:tx>
          <c:spPr>
            <a:ln w="19050">
              <a:solidFill>
                <a:srgbClr val="C00000"/>
              </a:solidFill>
            </a:ln>
          </c:spPr>
          <c:marker>
            <c:symbol val="none"/>
          </c:marker>
          <c:cat>
            <c:strRef>
              <c:f>'[Поквартальеная статистика РФ 2007-н.в.xlsx]Лист1'!$C$176:$L$176</c:f>
              <c:strCache>
                <c:ptCount val="10"/>
                <c:pt idx="0">
                  <c:v>2007 г.</c:v>
                </c:pt>
                <c:pt idx="1">
                  <c:v>2008 г.</c:v>
                </c:pt>
                <c:pt idx="2">
                  <c:v>2009 г.</c:v>
                </c:pt>
                <c:pt idx="3">
                  <c:v>2010 г.</c:v>
                </c:pt>
                <c:pt idx="4">
                  <c:v>2011 г.</c:v>
                </c:pt>
                <c:pt idx="5">
                  <c:v>2012 г.</c:v>
                </c:pt>
                <c:pt idx="6">
                  <c:v>2013 г.</c:v>
                </c:pt>
                <c:pt idx="7">
                  <c:v>2014 г.</c:v>
                </c:pt>
                <c:pt idx="8">
                  <c:v>2015 г.</c:v>
                </c:pt>
                <c:pt idx="9">
                  <c:v>2016 г.</c:v>
                </c:pt>
              </c:strCache>
            </c:strRef>
          </c:cat>
          <c:val>
            <c:numRef>
              <c:f>'[Поквартальеная статистика РФ 2007-н.в.xlsx]Лист1'!$C$250:$L$250</c:f>
              <c:numCache>
                <c:formatCode>General</c:formatCode>
                <c:ptCount val="10"/>
                <c:pt idx="0">
                  <c:v>104.5</c:v>
                </c:pt>
                <c:pt idx="1">
                  <c:v>97.8</c:v>
                </c:pt>
                <c:pt idx="2">
                  <c:v>83.6</c:v>
                </c:pt>
                <c:pt idx="3">
                  <c:v>112.4</c:v>
                </c:pt>
                <c:pt idx="4">
                  <c:v>107</c:v>
                </c:pt>
                <c:pt idx="5">
                  <c:v>104.8</c:v>
                </c:pt>
                <c:pt idx="6">
                  <c:v>100</c:v>
                </c:pt>
                <c:pt idx="7">
                  <c:v>100.6</c:v>
                </c:pt>
                <c:pt idx="8">
                  <c:v>93.5</c:v>
                </c:pt>
                <c:pt idx="9">
                  <c:v>97.7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1-8CC6-4789-A45F-3FF9DD756778}"/>
            </c:ext>
          </c:extLst>
        </c:ser>
        <c:ser>
          <c:idx val="2"/>
          <c:order val="2"/>
          <c:tx>
            <c:strRef>
              <c:f>'[Поквартальеная статистика РФ 2007-н.в.xlsx]Лист1'!$B$246</c:f>
              <c:strCache>
                <c:ptCount val="1"/>
                <c:pt idx="0">
                  <c:v>Производство кокса и нефтепродуктов</c:v>
                </c:pt>
              </c:strCache>
            </c:strRef>
          </c:tx>
          <c:spPr>
            <a:ln w="19050">
              <a:solidFill>
                <a:srgbClr val="00B050"/>
              </a:solidFill>
            </a:ln>
          </c:spPr>
          <c:marker>
            <c:symbol val="none"/>
          </c:marker>
          <c:cat>
            <c:strRef>
              <c:f>'[Поквартальеная статистика РФ 2007-н.в.xlsx]Лист1'!$C$176:$L$176</c:f>
              <c:strCache>
                <c:ptCount val="10"/>
                <c:pt idx="0">
                  <c:v>2007 г.</c:v>
                </c:pt>
                <c:pt idx="1">
                  <c:v>2008 г.</c:v>
                </c:pt>
                <c:pt idx="2">
                  <c:v>2009 г.</c:v>
                </c:pt>
                <c:pt idx="3">
                  <c:v>2010 г.</c:v>
                </c:pt>
                <c:pt idx="4">
                  <c:v>2011 г.</c:v>
                </c:pt>
                <c:pt idx="5">
                  <c:v>2012 г.</c:v>
                </c:pt>
                <c:pt idx="6">
                  <c:v>2013 г.</c:v>
                </c:pt>
                <c:pt idx="7">
                  <c:v>2014 г.</c:v>
                </c:pt>
                <c:pt idx="8">
                  <c:v>2015 г.</c:v>
                </c:pt>
                <c:pt idx="9">
                  <c:v>2016 г.</c:v>
                </c:pt>
              </c:strCache>
            </c:strRef>
          </c:cat>
          <c:val>
            <c:numRef>
              <c:f>'[Поквартальеная статистика РФ 2007-н.в.xlsx]Лист1'!$C$246:$L$246</c:f>
              <c:numCache>
                <c:formatCode>General</c:formatCode>
                <c:ptCount val="10"/>
                <c:pt idx="0">
                  <c:v>102.8</c:v>
                </c:pt>
                <c:pt idx="1">
                  <c:v>102.8</c:v>
                </c:pt>
                <c:pt idx="2">
                  <c:v>99.4</c:v>
                </c:pt>
                <c:pt idx="3">
                  <c:v>106</c:v>
                </c:pt>
                <c:pt idx="4">
                  <c:v>103.8</c:v>
                </c:pt>
                <c:pt idx="5">
                  <c:v>103.1</c:v>
                </c:pt>
                <c:pt idx="6">
                  <c:v>102.3</c:v>
                </c:pt>
                <c:pt idx="7">
                  <c:v>105.7</c:v>
                </c:pt>
                <c:pt idx="8">
                  <c:v>100.3</c:v>
                </c:pt>
                <c:pt idx="9">
                  <c:v>97.6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2-8CC6-4789-A45F-3FF9DD756778}"/>
            </c:ext>
          </c:extLst>
        </c:ser>
        <c:ser>
          <c:idx val="3"/>
          <c:order val="3"/>
          <c:tx>
            <c:strRef>
              <c:f>'[Поквартальеная статистика РФ 2007-н.в.xlsx]Лист1'!$B$247</c:f>
              <c:strCache>
                <c:ptCount val="1"/>
                <c:pt idx="0">
                  <c:v>Химическое производство</c:v>
                </c:pt>
              </c:strCache>
            </c:strRef>
          </c:tx>
          <c:spPr>
            <a:ln w="19050">
              <a:solidFill>
                <a:schemeClr val="tx1"/>
              </a:solidFill>
            </a:ln>
          </c:spPr>
          <c:marker>
            <c:symbol val="none"/>
          </c:marker>
          <c:cat>
            <c:strRef>
              <c:f>'[Поквартальеная статистика РФ 2007-н.в.xlsx]Лист1'!$C$176:$L$176</c:f>
              <c:strCache>
                <c:ptCount val="10"/>
                <c:pt idx="0">
                  <c:v>2007 г.</c:v>
                </c:pt>
                <c:pt idx="1">
                  <c:v>2008 г.</c:v>
                </c:pt>
                <c:pt idx="2">
                  <c:v>2009 г.</c:v>
                </c:pt>
                <c:pt idx="3">
                  <c:v>2010 г.</c:v>
                </c:pt>
                <c:pt idx="4">
                  <c:v>2011 г.</c:v>
                </c:pt>
                <c:pt idx="5">
                  <c:v>2012 г.</c:v>
                </c:pt>
                <c:pt idx="6">
                  <c:v>2013 г.</c:v>
                </c:pt>
                <c:pt idx="7">
                  <c:v>2014 г.</c:v>
                </c:pt>
                <c:pt idx="8">
                  <c:v>2015 г.</c:v>
                </c:pt>
                <c:pt idx="9">
                  <c:v>2016 г.</c:v>
                </c:pt>
              </c:strCache>
            </c:strRef>
          </c:cat>
          <c:val>
            <c:numRef>
              <c:f>'[Поквартальеная статистика РФ 2007-н.в.xlsx]Лист1'!$C$247:$L$247</c:f>
              <c:numCache>
                <c:formatCode>General</c:formatCode>
                <c:ptCount val="10"/>
                <c:pt idx="0">
                  <c:v>106.6</c:v>
                </c:pt>
                <c:pt idx="1">
                  <c:v>95.4</c:v>
                </c:pt>
                <c:pt idx="2">
                  <c:v>94.6</c:v>
                </c:pt>
                <c:pt idx="3">
                  <c:v>110.6</c:v>
                </c:pt>
                <c:pt idx="4">
                  <c:v>109.5</c:v>
                </c:pt>
                <c:pt idx="5">
                  <c:v>104.1</c:v>
                </c:pt>
                <c:pt idx="6">
                  <c:v>105.4</c:v>
                </c:pt>
                <c:pt idx="7">
                  <c:v>100.1</c:v>
                </c:pt>
                <c:pt idx="8">
                  <c:v>106.3</c:v>
                </c:pt>
                <c:pt idx="9">
                  <c:v>105.3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3-8CC6-4789-A45F-3FF9DD75677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4054016"/>
        <c:axId val="174059904"/>
      </c:lineChart>
      <c:catAx>
        <c:axId val="1740540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crossAx val="174059904"/>
        <c:crossesAt val="100"/>
        <c:auto val="1"/>
        <c:lblAlgn val="ctr"/>
        <c:lblOffset val="100"/>
        <c:noMultiLvlLbl val="0"/>
      </c:catAx>
      <c:valAx>
        <c:axId val="174059904"/>
        <c:scaling>
          <c:orientation val="minMax"/>
          <c:min val="80"/>
        </c:scaling>
        <c:delete val="0"/>
        <c:axPos val="l"/>
        <c:numFmt formatCode="0.0" sourceLinked="1"/>
        <c:majorTickMark val="out"/>
        <c:minorTickMark val="none"/>
        <c:tickLblPos val="nextTo"/>
        <c:crossAx val="17405401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12376786235054"/>
          <c:y val="0.61960330384823814"/>
          <c:w val="0.46801537062769116"/>
          <c:h val="0.23138599758404066"/>
        </c:manualLayout>
      </c:layout>
      <c:overlay val="1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'[Поквартальеная статистика РФ 2007-н.в.xlsx]Лист1'!$B$249</c:f>
              <c:strCache>
                <c:ptCount val="1"/>
                <c:pt idx="0">
                  <c:v>Производство прочих неметаллических минеральных продуктов</c:v>
                </c:pt>
              </c:strCache>
            </c:strRef>
          </c:tx>
          <c:spPr>
            <a:ln w="19050">
              <a:solidFill>
                <a:srgbClr val="0070C0"/>
              </a:solidFill>
            </a:ln>
          </c:spPr>
          <c:marker>
            <c:symbol val="none"/>
          </c:marker>
          <c:cat>
            <c:strRef>
              <c:f>'[Поквартальеная статистика РФ 2007-н.в.xlsx]Лист1'!$C$176:$L$176</c:f>
              <c:strCache>
                <c:ptCount val="10"/>
                <c:pt idx="0">
                  <c:v>2007 г.</c:v>
                </c:pt>
                <c:pt idx="1">
                  <c:v>2008 г.</c:v>
                </c:pt>
                <c:pt idx="2">
                  <c:v>2009 г.</c:v>
                </c:pt>
                <c:pt idx="3">
                  <c:v>2010 г.</c:v>
                </c:pt>
                <c:pt idx="4">
                  <c:v>2011 г.</c:v>
                </c:pt>
                <c:pt idx="5">
                  <c:v>2012 г.</c:v>
                </c:pt>
                <c:pt idx="6">
                  <c:v>2013 г.</c:v>
                </c:pt>
                <c:pt idx="7">
                  <c:v>2014 г.</c:v>
                </c:pt>
                <c:pt idx="8">
                  <c:v>2015 г.</c:v>
                </c:pt>
                <c:pt idx="9">
                  <c:v>2016 г.</c:v>
                </c:pt>
              </c:strCache>
            </c:strRef>
          </c:cat>
          <c:val>
            <c:numRef>
              <c:f>'[Поквартальеная статистика РФ 2007-н.в.xlsx]Лист1'!$C$249:$L$249</c:f>
              <c:numCache>
                <c:formatCode>General</c:formatCode>
                <c:ptCount val="10"/>
                <c:pt idx="0">
                  <c:v>108.3</c:v>
                </c:pt>
                <c:pt idx="1">
                  <c:v>97.1</c:v>
                </c:pt>
                <c:pt idx="2">
                  <c:v>66.8</c:v>
                </c:pt>
                <c:pt idx="3">
                  <c:v>114.5</c:v>
                </c:pt>
                <c:pt idx="4">
                  <c:v>107.4</c:v>
                </c:pt>
                <c:pt idx="5">
                  <c:v>110.7</c:v>
                </c:pt>
                <c:pt idx="6">
                  <c:v>98</c:v>
                </c:pt>
                <c:pt idx="7">
                  <c:v>101.8</c:v>
                </c:pt>
                <c:pt idx="8">
                  <c:v>92.2</c:v>
                </c:pt>
                <c:pt idx="9">
                  <c:v>93.4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326B-4078-A260-59B10B4D7B72}"/>
            </c:ext>
          </c:extLst>
        </c:ser>
        <c:ser>
          <c:idx val="1"/>
          <c:order val="1"/>
          <c:tx>
            <c:strRef>
              <c:f>'[Поквартальеная статистика РФ 2007-н.в.xlsx]Лист1'!$B$251</c:f>
              <c:strCache>
                <c:ptCount val="1"/>
                <c:pt idx="0">
                  <c:v>Производство машин и оборудования</c:v>
                </c:pt>
              </c:strCache>
            </c:strRef>
          </c:tx>
          <c:spPr>
            <a:ln w="19050">
              <a:solidFill>
                <a:srgbClr val="C00000"/>
              </a:solidFill>
            </a:ln>
          </c:spPr>
          <c:marker>
            <c:symbol val="none"/>
          </c:marker>
          <c:cat>
            <c:strRef>
              <c:f>'[Поквартальеная статистика РФ 2007-н.в.xlsx]Лист1'!$C$176:$L$176</c:f>
              <c:strCache>
                <c:ptCount val="10"/>
                <c:pt idx="0">
                  <c:v>2007 г.</c:v>
                </c:pt>
                <c:pt idx="1">
                  <c:v>2008 г.</c:v>
                </c:pt>
                <c:pt idx="2">
                  <c:v>2009 г.</c:v>
                </c:pt>
                <c:pt idx="3">
                  <c:v>2010 г.</c:v>
                </c:pt>
                <c:pt idx="4">
                  <c:v>2011 г.</c:v>
                </c:pt>
                <c:pt idx="5">
                  <c:v>2012 г.</c:v>
                </c:pt>
                <c:pt idx="6">
                  <c:v>2013 г.</c:v>
                </c:pt>
                <c:pt idx="7">
                  <c:v>2014 г.</c:v>
                </c:pt>
                <c:pt idx="8">
                  <c:v>2015 г.</c:v>
                </c:pt>
                <c:pt idx="9">
                  <c:v>2016 г.</c:v>
                </c:pt>
              </c:strCache>
            </c:strRef>
          </c:cat>
          <c:val>
            <c:numRef>
              <c:f>'[Поквартальеная статистика РФ 2007-н.в.xlsx]Лист1'!$C$251:$L$251</c:f>
              <c:numCache>
                <c:formatCode>General</c:formatCode>
                <c:ptCount val="10"/>
                <c:pt idx="0">
                  <c:v>126.7</c:v>
                </c:pt>
                <c:pt idx="1">
                  <c:v>99.5</c:v>
                </c:pt>
                <c:pt idx="2">
                  <c:v>66.8</c:v>
                </c:pt>
                <c:pt idx="3">
                  <c:v>115.2</c:v>
                </c:pt>
                <c:pt idx="4">
                  <c:v>111.1</c:v>
                </c:pt>
                <c:pt idx="5">
                  <c:v>102.7</c:v>
                </c:pt>
                <c:pt idx="6">
                  <c:v>96.6</c:v>
                </c:pt>
                <c:pt idx="7">
                  <c:v>92.2</c:v>
                </c:pt>
                <c:pt idx="8">
                  <c:v>88.9</c:v>
                </c:pt>
                <c:pt idx="9">
                  <c:v>103.8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1-326B-4078-A260-59B10B4D7B72}"/>
            </c:ext>
          </c:extLst>
        </c:ser>
        <c:ser>
          <c:idx val="2"/>
          <c:order val="2"/>
          <c:tx>
            <c:strRef>
              <c:f>'[Поквартальеная статистика РФ 2007-н.в.xlsx]Лист1'!$B$252</c:f>
              <c:strCache>
                <c:ptCount val="1"/>
                <c:pt idx="0">
                  <c:v>Производство электрооборудования, электронного и оптического оборудования</c:v>
                </c:pt>
              </c:strCache>
            </c:strRef>
          </c:tx>
          <c:spPr>
            <a:ln w="19050">
              <a:solidFill>
                <a:srgbClr val="00B050"/>
              </a:solidFill>
            </a:ln>
          </c:spPr>
          <c:marker>
            <c:symbol val="none"/>
          </c:marker>
          <c:cat>
            <c:strRef>
              <c:f>'[Поквартальеная статистика РФ 2007-н.в.xlsx]Лист1'!$C$176:$L$176</c:f>
              <c:strCache>
                <c:ptCount val="10"/>
                <c:pt idx="0">
                  <c:v>2007 г.</c:v>
                </c:pt>
                <c:pt idx="1">
                  <c:v>2008 г.</c:v>
                </c:pt>
                <c:pt idx="2">
                  <c:v>2009 г.</c:v>
                </c:pt>
                <c:pt idx="3">
                  <c:v>2010 г.</c:v>
                </c:pt>
                <c:pt idx="4">
                  <c:v>2011 г.</c:v>
                </c:pt>
                <c:pt idx="5">
                  <c:v>2012 г.</c:v>
                </c:pt>
                <c:pt idx="6">
                  <c:v>2013 г.</c:v>
                </c:pt>
                <c:pt idx="7">
                  <c:v>2014 г.</c:v>
                </c:pt>
                <c:pt idx="8">
                  <c:v>2015 г.</c:v>
                </c:pt>
                <c:pt idx="9">
                  <c:v>2016 г.</c:v>
                </c:pt>
              </c:strCache>
            </c:strRef>
          </c:cat>
          <c:val>
            <c:numRef>
              <c:f>'[Поквартальеная статистика РФ 2007-н.в.xlsx]Лист1'!$C$252:$L$252</c:f>
              <c:numCache>
                <c:formatCode>General</c:formatCode>
                <c:ptCount val="10"/>
                <c:pt idx="0">
                  <c:v>110.9</c:v>
                </c:pt>
                <c:pt idx="1">
                  <c:v>92.6</c:v>
                </c:pt>
                <c:pt idx="2">
                  <c:v>68.400000000000006</c:v>
                </c:pt>
                <c:pt idx="3">
                  <c:v>118.9</c:v>
                </c:pt>
                <c:pt idx="4">
                  <c:v>111.9</c:v>
                </c:pt>
                <c:pt idx="5">
                  <c:v>106.4</c:v>
                </c:pt>
                <c:pt idx="6">
                  <c:v>99</c:v>
                </c:pt>
                <c:pt idx="7">
                  <c:v>99.5</c:v>
                </c:pt>
                <c:pt idx="8">
                  <c:v>92.1</c:v>
                </c:pt>
                <c:pt idx="9">
                  <c:v>99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2-326B-4078-A260-59B10B4D7B72}"/>
            </c:ext>
          </c:extLst>
        </c:ser>
        <c:ser>
          <c:idx val="3"/>
          <c:order val="3"/>
          <c:tx>
            <c:strRef>
              <c:f>'[Поквартальеная статистика РФ 2007-н.в.xlsx]Лист1'!$B$253</c:f>
              <c:strCache>
                <c:ptCount val="1"/>
                <c:pt idx="0">
                  <c:v>Производство транспортных средств и оборудования</c:v>
                </c:pt>
              </c:strCache>
            </c:strRef>
          </c:tx>
          <c:spPr>
            <a:ln w="19050">
              <a:solidFill>
                <a:schemeClr val="tx1"/>
              </a:solidFill>
            </a:ln>
          </c:spPr>
          <c:marker>
            <c:symbol val="none"/>
          </c:marker>
          <c:cat>
            <c:strRef>
              <c:f>'[Поквартальеная статистика РФ 2007-н.в.xlsx]Лист1'!$C$176:$L$176</c:f>
              <c:strCache>
                <c:ptCount val="10"/>
                <c:pt idx="0">
                  <c:v>2007 г.</c:v>
                </c:pt>
                <c:pt idx="1">
                  <c:v>2008 г.</c:v>
                </c:pt>
                <c:pt idx="2">
                  <c:v>2009 г.</c:v>
                </c:pt>
                <c:pt idx="3">
                  <c:v>2010 г.</c:v>
                </c:pt>
                <c:pt idx="4">
                  <c:v>2011 г.</c:v>
                </c:pt>
                <c:pt idx="5">
                  <c:v>2012 г.</c:v>
                </c:pt>
                <c:pt idx="6">
                  <c:v>2013 г.</c:v>
                </c:pt>
                <c:pt idx="7">
                  <c:v>2014 г.</c:v>
                </c:pt>
                <c:pt idx="8">
                  <c:v>2015 г.</c:v>
                </c:pt>
                <c:pt idx="9">
                  <c:v>2016 г.</c:v>
                </c:pt>
              </c:strCache>
            </c:strRef>
          </c:cat>
          <c:val>
            <c:numRef>
              <c:f>'[Поквартальеная статистика РФ 2007-н.в.xlsx]Лист1'!$C$253:$L$253</c:f>
              <c:numCache>
                <c:formatCode>General</c:formatCode>
                <c:ptCount val="10"/>
                <c:pt idx="0">
                  <c:v>107.8</c:v>
                </c:pt>
                <c:pt idx="1">
                  <c:v>100.4</c:v>
                </c:pt>
                <c:pt idx="2">
                  <c:v>68.5</c:v>
                </c:pt>
                <c:pt idx="3">
                  <c:v>127.2</c:v>
                </c:pt>
                <c:pt idx="4">
                  <c:v>117.2</c:v>
                </c:pt>
                <c:pt idx="5">
                  <c:v>110.3</c:v>
                </c:pt>
                <c:pt idx="6">
                  <c:v>102.2</c:v>
                </c:pt>
                <c:pt idx="7">
                  <c:v>108.5</c:v>
                </c:pt>
                <c:pt idx="8">
                  <c:v>91.5</c:v>
                </c:pt>
                <c:pt idx="9">
                  <c:v>97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3-326B-4078-A260-59B10B4D7B7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4845952"/>
        <c:axId val="174847488"/>
      </c:lineChart>
      <c:catAx>
        <c:axId val="1748459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crossAx val="174847488"/>
        <c:crossesAt val="100"/>
        <c:auto val="1"/>
        <c:lblAlgn val="ctr"/>
        <c:lblOffset val="100"/>
        <c:noMultiLvlLbl val="0"/>
      </c:catAx>
      <c:valAx>
        <c:axId val="174847488"/>
        <c:scaling>
          <c:orientation val="minMax"/>
          <c:min val="50"/>
        </c:scaling>
        <c:delete val="0"/>
        <c:axPos val="l"/>
        <c:numFmt formatCode="General" sourceLinked="1"/>
        <c:majorTickMark val="out"/>
        <c:minorTickMark val="none"/>
        <c:tickLblPos val="nextTo"/>
        <c:crossAx val="17484595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39908702588647005"/>
          <c:y val="0.56975907407474902"/>
          <c:w val="0.59001972792616597"/>
          <c:h val="0.32751415500434106"/>
        </c:manualLayout>
      </c:layout>
      <c:overlay val="1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8.3896444762586495E-2"/>
          <c:y val="5.0925925925925923E-2"/>
          <c:w val="0.59845178443603642"/>
          <c:h val="0.84594925634295715"/>
        </c:manualLayout>
      </c:layout>
      <c:lineChart>
        <c:grouping val="standard"/>
        <c:varyColors val="0"/>
        <c:ser>
          <c:idx val="0"/>
          <c:order val="0"/>
          <c:tx>
            <c:strRef>
              <c:f>Лист1!$A$4</c:f>
              <c:strCache>
                <c:ptCount val="1"/>
                <c:pt idx="0">
                  <c:v>США (левая шкала)</c:v>
                </c:pt>
              </c:strCache>
            </c:strRef>
          </c:tx>
          <c:spPr>
            <a:ln w="19050">
              <a:solidFill>
                <a:srgbClr val="0070C0"/>
              </a:solidFill>
            </a:ln>
          </c:spPr>
          <c:marker>
            <c:symbol val="circle"/>
            <c:size val="4"/>
            <c:spPr>
              <a:solidFill>
                <a:srgbClr val="0070C0"/>
              </a:solidFill>
              <a:ln>
                <a:solidFill>
                  <a:srgbClr val="0070C0"/>
                </a:solidFill>
              </a:ln>
            </c:spPr>
          </c:marker>
          <c:dLbls>
            <c:spPr>
              <a:ln>
                <a:noFill/>
              </a:ln>
            </c:sp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Лист1!$L$3:$T$3</c:f>
              <c:strCache>
                <c:ptCount val="9"/>
                <c:pt idx="0">
                  <c:v>2007 г.</c:v>
                </c:pt>
                <c:pt idx="1">
                  <c:v>2008 г.</c:v>
                </c:pt>
                <c:pt idx="2">
                  <c:v>2009 г.</c:v>
                </c:pt>
                <c:pt idx="3">
                  <c:v>2010 г.</c:v>
                </c:pt>
                <c:pt idx="4">
                  <c:v>2011 г.</c:v>
                </c:pt>
                <c:pt idx="5">
                  <c:v>2012 г.</c:v>
                </c:pt>
                <c:pt idx="6">
                  <c:v>2013 г.</c:v>
                </c:pt>
                <c:pt idx="7">
                  <c:v>2014 г.</c:v>
                </c:pt>
                <c:pt idx="8">
                  <c:v>2015 г.</c:v>
                </c:pt>
              </c:strCache>
            </c:strRef>
          </c:cat>
          <c:val>
            <c:numRef>
              <c:f>Лист1!$L$4:$T$4</c:f>
              <c:numCache>
                <c:formatCode>0.00</c:formatCode>
                <c:ptCount val="9"/>
                <c:pt idx="0">
                  <c:v>10.327331145284417</c:v>
                </c:pt>
                <c:pt idx="1">
                  <c:v>9.5164734735073555</c:v>
                </c:pt>
                <c:pt idx="2">
                  <c:v>12.005889336478228</c:v>
                </c:pt>
                <c:pt idx="3">
                  <c:v>10.596729489540243</c:v>
                </c:pt>
                <c:pt idx="4">
                  <c:v>9.4029510252058852</c:v>
                </c:pt>
                <c:pt idx="5">
                  <c:v>9.6229145628048549</c:v>
                </c:pt>
                <c:pt idx="6">
                  <c:v>9.6677454213096325</c:v>
                </c:pt>
                <c:pt idx="7">
                  <c:v>9.8636736505524691</c:v>
                </c:pt>
                <c:pt idx="8">
                  <c:v>9.2504629058987309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5158400"/>
        <c:axId val="175159936"/>
      </c:lineChart>
      <c:lineChart>
        <c:grouping val="standard"/>
        <c:varyColors val="0"/>
        <c:ser>
          <c:idx val="1"/>
          <c:order val="1"/>
          <c:tx>
            <c:strRef>
              <c:f>Лист1!$A$5</c:f>
              <c:strCache>
                <c:ptCount val="1"/>
                <c:pt idx="0">
                  <c:v>РФ (правая шкала)</c:v>
                </c:pt>
              </c:strCache>
            </c:strRef>
          </c:tx>
          <c:spPr>
            <a:ln w="19050">
              <a:solidFill>
                <a:srgbClr val="C00000"/>
              </a:solidFill>
            </a:ln>
          </c:spPr>
          <c:marker>
            <c:symbol val="square"/>
            <c:size val="4"/>
            <c:spPr>
              <a:solidFill>
                <a:srgbClr val="C00000"/>
              </a:solidFill>
              <a:ln>
                <a:solidFill>
                  <a:srgbClr val="C00000"/>
                </a:solidFill>
              </a:ln>
            </c:spPr>
          </c:marker>
          <c:dLbls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Лист1!$L$3:$T$3</c:f>
              <c:strCache>
                <c:ptCount val="9"/>
                <c:pt idx="0">
                  <c:v>2007 г.</c:v>
                </c:pt>
                <c:pt idx="1">
                  <c:v>2008 г.</c:v>
                </c:pt>
                <c:pt idx="2">
                  <c:v>2009 г.</c:v>
                </c:pt>
                <c:pt idx="3">
                  <c:v>2010 г.</c:v>
                </c:pt>
                <c:pt idx="4">
                  <c:v>2011 г.</c:v>
                </c:pt>
                <c:pt idx="5">
                  <c:v>2012 г.</c:v>
                </c:pt>
                <c:pt idx="6">
                  <c:v>2013 г.</c:v>
                </c:pt>
                <c:pt idx="7">
                  <c:v>2014 г.</c:v>
                </c:pt>
                <c:pt idx="8">
                  <c:v>2015 г.</c:v>
                </c:pt>
              </c:strCache>
            </c:strRef>
          </c:cat>
          <c:val>
            <c:numRef>
              <c:f>Лист1!$L$5:$T$5</c:f>
              <c:numCache>
                <c:formatCode>0.00</c:formatCode>
                <c:ptCount val="9"/>
                <c:pt idx="0">
                  <c:v>1.6117264976333459</c:v>
                </c:pt>
                <c:pt idx="1">
                  <c:v>1.6011072117297802</c:v>
                </c:pt>
                <c:pt idx="2">
                  <c:v>1.5710455983571436</c:v>
                </c:pt>
                <c:pt idx="3">
                  <c:v>1.5786588450834851</c:v>
                </c:pt>
                <c:pt idx="4">
                  <c:v>1.5560590402839896</c:v>
                </c:pt>
                <c:pt idx="5">
                  <c:v>1.5643812223982407</c:v>
                </c:pt>
                <c:pt idx="6">
                  <c:v>1.5620525696452514</c:v>
                </c:pt>
                <c:pt idx="7">
                  <c:v>1.5376933084373112</c:v>
                </c:pt>
                <c:pt idx="8">
                  <c:v>1.5249961599655508</c:v>
                </c:pt>
              </c:numCache>
            </c:numRef>
          </c:val>
          <c:smooth val="1"/>
        </c:ser>
        <c:ser>
          <c:idx val="2"/>
          <c:order val="2"/>
          <c:tx>
            <c:strRef>
              <c:f>Лист1!$A$6</c:f>
              <c:strCache>
                <c:ptCount val="1"/>
                <c:pt idx="0">
                  <c:v>ВО (правая шкала)</c:v>
                </c:pt>
              </c:strCache>
            </c:strRef>
          </c:tx>
          <c:spPr>
            <a:ln w="19050">
              <a:solidFill>
                <a:srgbClr val="00B050"/>
              </a:solidFill>
            </a:ln>
          </c:spPr>
          <c:marker>
            <c:symbol val="diamond"/>
            <c:size val="5"/>
            <c:spPr>
              <a:solidFill>
                <a:srgbClr val="00B050"/>
              </a:solidFill>
              <a:ln>
                <a:solidFill>
                  <a:srgbClr val="00B050"/>
                </a:solidFill>
              </a:ln>
            </c:spPr>
          </c:marker>
          <c:dLbls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Лист1!$L$3:$T$3</c:f>
              <c:strCache>
                <c:ptCount val="9"/>
                <c:pt idx="0">
                  <c:v>2007 г.</c:v>
                </c:pt>
                <c:pt idx="1">
                  <c:v>2008 г.</c:v>
                </c:pt>
                <c:pt idx="2">
                  <c:v>2009 г.</c:v>
                </c:pt>
                <c:pt idx="3">
                  <c:v>2010 г.</c:v>
                </c:pt>
                <c:pt idx="4">
                  <c:v>2011 г.</c:v>
                </c:pt>
                <c:pt idx="5">
                  <c:v>2012 г.</c:v>
                </c:pt>
                <c:pt idx="6">
                  <c:v>2013 г.</c:v>
                </c:pt>
                <c:pt idx="7">
                  <c:v>2014 г.</c:v>
                </c:pt>
                <c:pt idx="8">
                  <c:v>2015 г.</c:v>
                </c:pt>
              </c:strCache>
            </c:strRef>
          </c:cat>
          <c:val>
            <c:numRef>
              <c:f>Лист1!$L$6:$T$6</c:f>
              <c:numCache>
                <c:formatCode>0.00</c:formatCode>
                <c:ptCount val="9"/>
                <c:pt idx="0">
                  <c:v>1.1399999999999999</c:v>
                </c:pt>
                <c:pt idx="1">
                  <c:v>1.17</c:v>
                </c:pt>
                <c:pt idx="2">
                  <c:v>1.1399999999999999</c:v>
                </c:pt>
                <c:pt idx="3">
                  <c:v>1.1499999999999999</c:v>
                </c:pt>
                <c:pt idx="4">
                  <c:v>1.1499999999999999</c:v>
                </c:pt>
                <c:pt idx="5">
                  <c:v>1.1499999999999999</c:v>
                </c:pt>
                <c:pt idx="6">
                  <c:v>1.1399999999999999</c:v>
                </c:pt>
                <c:pt idx="7">
                  <c:v>1.1200000000000001</c:v>
                </c:pt>
                <c:pt idx="8">
                  <c:v>1.1000000000000001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5167360"/>
        <c:axId val="175165824"/>
      </c:lineChart>
      <c:catAx>
        <c:axId val="175158400"/>
        <c:scaling>
          <c:orientation val="minMax"/>
        </c:scaling>
        <c:delete val="0"/>
        <c:axPos val="b"/>
        <c:majorTickMark val="out"/>
        <c:minorTickMark val="none"/>
        <c:tickLblPos val="nextTo"/>
        <c:crossAx val="175159936"/>
        <c:crosses val="autoZero"/>
        <c:auto val="1"/>
        <c:lblAlgn val="ctr"/>
        <c:lblOffset val="100"/>
        <c:noMultiLvlLbl val="0"/>
      </c:catAx>
      <c:valAx>
        <c:axId val="175159936"/>
        <c:scaling>
          <c:orientation val="minMax"/>
        </c:scaling>
        <c:delete val="0"/>
        <c:axPos val="l"/>
        <c:numFmt formatCode="0.00" sourceLinked="1"/>
        <c:majorTickMark val="out"/>
        <c:minorTickMark val="none"/>
        <c:tickLblPos val="nextTo"/>
        <c:crossAx val="175158400"/>
        <c:crosses val="autoZero"/>
        <c:crossBetween val="between"/>
      </c:valAx>
      <c:valAx>
        <c:axId val="175165824"/>
        <c:scaling>
          <c:orientation val="minMax"/>
          <c:max val="2.2000000000000002"/>
          <c:min val="0.8"/>
        </c:scaling>
        <c:delete val="0"/>
        <c:axPos val="r"/>
        <c:numFmt formatCode="0.00" sourceLinked="1"/>
        <c:majorTickMark val="out"/>
        <c:minorTickMark val="none"/>
        <c:tickLblPos val="nextTo"/>
        <c:crossAx val="175167360"/>
        <c:crosses val="max"/>
        <c:crossBetween val="between"/>
      </c:valAx>
      <c:catAx>
        <c:axId val="175167360"/>
        <c:scaling>
          <c:orientation val="minMax"/>
        </c:scaling>
        <c:delete val="1"/>
        <c:axPos val="b"/>
        <c:majorTickMark val="out"/>
        <c:minorTickMark val="none"/>
        <c:tickLblPos val="nextTo"/>
        <c:crossAx val="175165824"/>
        <c:crosses val="autoZero"/>
        <c:auto val="1"/>
        <c:lblAlgn val="ctr"/>
        <c:lblOffset val="100"/>
        <c:noMultiLvlLbl val="0"/>
      </c:catAx>
    </c:plotArea>
    <c:legend>
      <c:legendPos val="r"/>
      <c:layout/>
      <c:overlay val="1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11FE0-8385-4C36-81CE-3F78ADF52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1630</Words>
  <Characters>9295</Characters>
  <Application>Microsoft Office Word</Application>
  <DocSecurity>4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Екатерина Г. Леонидова</cp:lastModifiedBy>
  <cp:revision>2</cp:revision>
  <dcterms:created xsi:type="dcterms:W3CDTF">2017-05-12T10:34:00Z</dcterms:created>
  <dcterms:modified xsi:type="dcterms:W3CDTF">2017-05-12T10:34:00Z</dcterms:modified>
</cp:coreProperties>
</file>