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drawings/drawing1.xml" ContentType="application/vnd.openxmlformats-officedocument.drawingml.chartshapes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D32" w:rsidRDefault="00BE1D32" w:rsidP="00BE1D3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© Лукин Е.В.</w:t>
      </w:r>
    </w:p>
    <w:p w:rsidR="00FB71F7" w:rsidRPr="00BE1D32" w:rsidRDefault="00A452C6" w:rsidP="00BE1D3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Межрегиональное т</w:t>
      </w:r>
      <w:r w:rsidR="00BE1D32" w:rsidRPr="00BE1D32">
        <w:rPr>
          <w:rFonts w:ascii="Times New Roman" w:hAnsi="Times New Roman" w:cs="Times New Roman"/>
          <w:b/>
          <w:sz w:val="28"/>
          <w:szCs w:val="28"/>
        </w:rPr>
        <w:t>оргово-экономическое сотрудничество</w:t>
      </w:r>
      <w:r w:rsidR="00FD2508">
        <w:rPr>
          <w:rFonts w:ascii="Times New Roman" w:hAnsi="Times New Roman" w:cs="Times New Roman"/>
          <w:b/>
          <w:sz w:val="28"/>
          <w:szCs w:val="28"/>
        </w:rPr>
        <w:br/>
        <w:t>в рамках ЕАЭС как инструмент повышения</w:t>
      </w:r>
      <w:r w:rsidR="00FD2508">
        <w:rPr>
          <w:rFonts w:ascii="Times New Roman" w:hAnsi="Times New Roman" w:cs="Times New Roman"/>
          <w:b/>
          <w:sz w:val="28"/>
          <w:szCs w:val="28"/>
        </w:rPr>
        <w:br/>
        <w:t>экономической безопасности</w:t>
      </w:r>
      <w:r w:rsidR="002B54AA" w:rsidRPr="002B54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5427">
        <w:rPr>
          <w:rFonts w:ascii="Times New Roman" w:hAnsi="Times New Roman" w:cs="Times New Roman"/>
          <w:b/>
          <w:sz w:val="28"/>
          <w:szCs w:val="28"/>
        </w:rPr>
        <w:t>стран</w:t>
      </w:r>
    </w:p>
    <w:p w:rsidR="00BE1D32" w:rsidRDefault="00BE1D32" w:rsidP="00BE1D3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E1D32" w:rsidRDefault="00BE1D32" w:rsidP="00BE1D3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Страны и их р</w:t>
      </w:r>
      <w:r w:rsidRPr="00BE1D32">
        <w:rPr>
          <w:rFonts w:ascii="Times New Roman" w:hAnsi="Times New Roman" w:cs="Times New Roman"/>
          <w:sz w:val="28"/>
          <w:szCs w:val="28"/>
        </w:rPr>
        <w:t>егионы не могут развиваться изолированно – современная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D32">
        <w:rPr>
          <w:rFonts w:ascii="Times New Roman" w:hAnsi="Times New Roman" w:cs="Times New Roman"/>
          <w:sz w:val="28"/>
          <w:szCs w:val="28"/>
        </w:rPr>
        <w:t>модель экономического развития требует от них тесного сотрудничества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D32">
        <w:rPr>
          <w:rFonts w:ascii="Times New Roman" w:hAnsi="Times New Roman" w:cs="Times New Roman"/>
          <w:sz w:val="28"/>
          <w:szCs w:val="28"/>
        </w:rPr>
        <w:t>друг с другом.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D32">
        <w:rPr>
          <w:rFonts w:ascii="Times New Roman" w:hAnsi="Times New Roman" w:cs="Times New Roman"/>
          <w:sz w:val="28"/>
          <w:szCs w:val="28"/>
        </w:rPr>
        <w:t>Необходимость развития межрегиона</w:t>
      </w:r>
      <w:r>
        <w:rPr>
          <w:rFonts w:ascii="Times New Roman" w:hAnsi="Times New Roman" w:cs="Times New Roman"/>
          <w:sz w:val="28"/>
          <w:szCs w:val="28"/>
        </w:rPr>
        <w:t>льных связей подтверждается вос</w:t>
      </w:r>
      <w:r w:rsidRPr="00BE1D32">
        <w:rPr>
          <w:rFonts w:ascii="Times New Roman" w:hAnsi="Times New Roman" w:cs="Times New Roman"/>
          <w:sz w:val="28"/>
          <w:szCs w:val="28"/>
        </w:rPr>
        <w:t>производственным подходом к управ</w:t>
      </w:r>
      <w:r>
        <w:rPr>
          <w:rFonts w:ascii="Times New Roman" w:hAnsi="Times New Roman" w:cs="Times New Roman"/>
          <w:sz w:val="28"/>
          <w:szCs w:val="28"/>
        </w:rPr>
        <w:t>лению экономикой, согласно кот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BE1D32">
        <w:rPr>
          <w:rFonts w:ascii="Times New Roman" w:hAnsi="Times New Roman" w:cs="Times New Roman"/>
          <w:sz w:val="28"/>
          <w:szCs w:val="28"/>
        </w:rPr>
        <w:t>рому объем и структура произведенного в регионе продукта не идентична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D32">
        <w:rPr>
          <w:rFonts w:ascii="Times New Roman" w:hAnsi="Times New Roman" w:cs="Times New Roman"/>
          <w:sz w:val="28"/>
          <w:szCs w:val="28"/>
        </w:rPr>
        <w:t>ресурсам воспроизводства, реализованным и использованным в данном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D32">
        <w:rPr>
          <w:rFonts w:ascii="Times New Roman" w:hAnsi="Times New Roman" w:cs="Times New Roman"/>
          <w:sz w:val="28"/>
          <w:szCs w:val="28"/>
        </w:rPr>
        <w:t>рег</w:t>
      </w:r>
      <w:r w:rsidRPr="00BE1D32">
        <w:rPr>
          <w:rFonts w:ascii="Times New Roman" w:hAnsi="Times New Roman" w:cs="Times New Roman"/>
          <w:sz w:val="28"/>
          <w:szCs w:val="28"/>
        </w:rPr>
        <w:t>и</w:t>
      </w:r>
      <w:r w:rsidRPr="00BE1D32">
        <w:rPr>
          <w:rFonts w:ascii="Times New Roman" w:hAnsi="Times New Roman" w:cs="Times New Roman"/>
          <w:sz w:val="28"/>
          <w:szCs w:val="28"/>
        </w:rPr>
        <w:t>оне. Экономические ресурсы регионального воспроизводственного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D32">
        <w:rPr>
          <w:rFonts w:ascii="Times New Roman" w:hAnsi="Times New Roman" w:cs="Times New Roman"/>
          <w:sz w:val="28"/>
          <w:szCs w:val="28"/>
        </w:rPr>
        <w:t xml:space="preserve">процесса формируются за счет </w:t>
      </w:r>
      <w:proofErr w:type="spellStart"/>
      <w:r w:rsidRPr="00BE1D32">
        <w:rPr>
          <w:rFonts w:ascii="Times New Roman" w:hAnsi="Times New Roman" w:cs="Times New Roman"/>
          <w:sz w:val="28"/>
          <w:szCs w:val="28"/>
        </w:rPr>
        <w:t>внутрирегиональных</w:t>
      </w:r>
      <w:proofErr w:type="spellEnd"/>
      <w:r w:rsidRPr="00BE1D32">
        <w:rPr>
          <w:rFonts w:ascii="Times New Roman" w:hAnsi="Times New Roman" w:cs="Times New Roman"/>
          <w:sz w:val="28"/>
          <w:szCs w:val="28"/>
        </w:rPr>
        <w:t xml:space="preserve"> и межрегиональных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D32">
        <w:rPr>
          <w:rFonts w:ascii="Times New Roman" w:hAnsi="Times New Roman" w:cs="Times New Roman"/>
          <w:sz w:val="28"/>
          <w:szCs w:val="28"/>
        </w:rPr>
        <w:t>связей и в каждый момент времени ог</w:t>
      </w:r>
      <w:r>
        <w:rPr>
          <w:rFonts w:ascii="Times New Roman" w:hAnsi="Times New Roman" w:cs="Times New Roman"/>
          <w:sz w:val="28"/>
          <w:szCs w:val="28"/>
        </w:rPr>
        <w:t>раничены. Кроме того, националь</w:t>
      </w:r>
      <w:r w:rsidRPr="00BE1D32">
        <w:rPr>
          <w:rFonts w:ascii="Times New Roman" w:hAnsi="Times New Roman" w:cs="Times New Roman"/>
          <w:sz w:val="28"/>
          <w:szCs w:val="28"/>
        </w:rPr>
        <w:t>ный доход, п</w:t>
      </w:r>
      <w:r w:rsidRPr="00BE1D32">
        <w:rPr>
          <w:rFonts w:ascii="Times New Roman" w:hAnsi="Times New Roman" w:cs="Times New Roman"/>
          <w:sz w:val="28"/>
          <w:szCs w:val="28"/>
        </w:rPr>
        <w:t>о</w:t>
      </w:r>
      <w:r w:rsidRPr="00BE1D32">
        <w:rPr>
          <w:rFonts w:ascii="Times New Roman" w:hAnsi="Times New Roman" w:cs="Times New Roman"/>
          <w:sz w:val="28"/>
          <w:szCs w:val="28"/>
        </w:rPr>
        <w:t>требляемый в регионе, не находится в прямой зависимости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D32">
        <w:rPr>
          <w:rFonts w:ascii="Times New Roman" w:hAnsi="Times New Roman" w:cs="Times New Roman"/>
          <w:sz w:val="28"/>
          <w:szCs w:val="28"/>
        </w:rPr>
        <w:t>от объема прои</w:t>
      </w:r>
      <w:r w:rsidRPr="00BE1D32">
        <w:rPr>
          <w:rFonts w:ascii="Times New Roman" w:hAnsi="Times New Roman" w:cs="Times New Roman"/>
          <w:sz w:val="28"/>
          <w:szCs w:val="28"/>
        </w:rPr>
        <w:t>з</w:t>
      </w:r>
      <w:r w:rsidRPr="00BE1D32">
        <w:rPr>
          <w:rFonts w:ascii="Times New Roman" w:hAnsi="Times New Roman" w:cs="Times New Roman"/>
          <w:sz w:val="28"/>
          <w:szCs w:val="28"/>
        </w:rPr>
        <w:t>веденного в нем чистого продукта. Это определяет</w:t>
      </w:r>
      <w:r>
        <w:rPr>
          <w:rFonts w:ascii="Times New Roman" w:hAnsi="Times New Roman" w:cs="Times New Roman"/>
          <w:sz w:val="28"/>
          <w:szCs w:val="28"/>
        </w:rPr>
        <w:t xml:space="preserve"> зависи</w:t>
      </w:r>
      <w:r w:rsidRPr="00BE1D32">
        <w:rPr>
          <w:rFonts w:ascii="Times New Roman" w:hAnsi="Times New Roman" w:cs="Times New Roman"/>
          <w:sz w:val="28"/>
          <w:szCs w:val="28"/>
        </w:rPr>
        <w:t>мость регион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BE1D32">
        <w:rPr>
          <w:rFonts w:ascii="Times New Roman" w:hAnsi="Times New Roman" w:cs="Times New Roman"/>
          <w:sz w:val="28"/>
          <w:szCs w:val="28"/>
        </w:rPr>
        <w:t xml:space="preserve"> от межрегиональной экономической интеграции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D32">
        <w:rPr>
          <w:rFonts w:ascii="Times New Roman" w:hAnsi="Times New Roman" w:cs="Times New Roman"/>
          <w:sz w:val="28"/>
          <w:szCs w:val="28"/>
        </w:rPr>
        <w:t>устойчивости рыночных о</w:t>
      </w:r>
      <w:r w:rsidRPr="00BE1D32">
        <w:rPr>
          <w:rFonts w:ascii="Times New Roman" w:hAnsi="Times New Roman" w:cs="Times New Roman"/>
          <w:sz w:val="28"/>
          <w:szCs w:val="28"/>
        </w:rPr>
        <w:t>т</w:t>
      </w:r>
      <w:r w:rsidRPr="00BE1D32">
        <w:rPr>
          <w:rFonts w:ascii="Times New Roman" w:hAnsi="Times New Roman" w:cs="Times New Roman"/>
          <w:sz w:val="28"/>
          <w:szCs w:val="28"/>
        </w:rPr>
        <w:t>ношений.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24BA" w:rsidRPr="00BE1D32" w:rsidRDefault="00BE1D32" w:rsidP="009E4A8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E1D32">
        <w:rPr>
          <w:rFonts w:ascii="Times New Roman" w:hAnsi="Times New Roman" w:cs="Times New Roman"/>
          <w:sz w:val="28"/>
          <w:szCs w:val="28"/>
        </w:rPr>
        <w:t>С точки зрения обеспечения экономической безопасности понятие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D32">
        <w:rPr>
          <w:rFonts w:ascii="Times New Roman" w:hAnsi="Times New Roman" w:cs="Times New Roman"/>
          <w:sz w:val="28"/>
          <w:szCs w:val="28"/>
        </w:rPr>
        <w:t>устойчивости является определяющим.</w:t>
      </w:r>
      <w:r w:rsidR="00A452C6">
        <w:rPr>
          <w:rFonts w:ascii="Times New Roman" w:hAnsi="Times New Roman" w:cs="Times New Roman"/>
          <w:sz w:val="28"/>
          <w:szCs w:val="28"/>
        </w:rPr>
        <w:t xml:space="preserve"> </w:t>
      </w:r>
      <w:r w:rsidRPr="00BE1D32">
        <w:rPr>
          <w:rFonts w:ascii="Times New Roman" w:hAnsi="Times New Roman" w:cs="Times New Roman"/>
          <w:sz w:val="28"/>
          <w:szCs w:val="28"/>
        </w:rPr>
        <w:t>В этой связи рассмотрим структуру поставок проду</w:t>
      </w:r>
      <w:r>
        <w:rPr>
          <w:rFonts w:ascii="Times New Roman" w:hAnsi="Times New Roman" w:cs="Times New Roman"/>
          <w:sz w:val="28"/>
          <w:szCs w:val="28"/>
        </w:rPr>
        <w:t>кции, произведен</w:t>
      </w:r>
      <w:r w:rsidRPr="00BE1D32">
        <w:rPr>
          <w:rFonts w:ascii="Times New Roman" w:hAnsi="Times New Roman" w:cs="Times New Roman"/>
          <w:sz w:val="28"/>
          <w:szCs w:val="28"/>
        </w:rPr>
        <w:t>ной Вологодской областью, по каналам ре</w:t>
      </w:r>
      <w:r w:rsidRPr="00BE1D32">
        <w:rPr>
          <w:rFonts w:ascii="Times New Roman" w:hAnsi="Times New Roman" w:cs="Times New Roman"/>
          <w:sz w:val="28"/>
          <w:szCs w:val="28"/>
        </w:rPr>
        <w:t>а</w:t>
      </w:r>
      <w:r w:rsidR="006724BA">
        <w:rPr>
          <w:rFonts w:ascii="Times New Roman" w:hAnsi="Times New Roman" w:cs="Times New Roman"/>
          <w:sz w:val="28"/>
          <w:szCs w:val="28"/>
        </w:rPr>
        <w:t>лизации</w:t>
      </w:r>
      <w:r w:rsidRPr="00BE1D32">
        <w:rPr>
          <w:rFonts w:ascii="Times New Roman" w:hAnsi="Times New Roman" w:cs="Times New Roman"/>
          <w:sz w:val="28"/>
          <w:szCs w:val="28"/>
        </w:rPr>
        <w:t>. Вологодская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D32">
        <w:rPr>
          <w:rFonts w:ascii="Times New Roman" w:hAnsi="Times New Roman" w:cs="Times New Roman"/>
          <w:sz w:val="28"/>
          <w:szCs w:val="28"/>
        </w:rPr>
        <w:t xml:space="preserve">область – </w:t>
      </w:r>
      <w:proofErr w:type="spellStart"/>
      <w:r w:rsidRPr="00BE1D32">
        <w:rPr>
          <w:rFonts w:ascii="Times New Roman" w:hAnsi="Times New Roman" w:cs="Times New Roman"/>
          <w:sz w:val="28"/>
          <w:szCs w:val="28"/>
        </w:rPr>
        <w:t>экспортоориентированный</w:t>
      </w:r>
      <w:proofErr w:type="spellEnd"/>
      <w:r w:rsidRPr="00BE1D32">
        <w:rPr>
          <w:rFonts w:ascii="Times New Roman" w:hAnsi="Times New Roman" w:cs="Times New Roman"/>
          <w:sz w:val="28"/>
          <w:szCs w:val="28"/>
        </w:rPr>
        <w:t xml:space="preserve"> регион. Около трети производимой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1D32">
        <w:rPr>
          <w:rFonts w:ascii="Times New Roman" w:hAnsi="Times New Roman" w:cs="Times New Roman"/>
          <w:sz w:val="28"/>
          <w:szCs w:val="28"/>
        </w:rPr>
        <w:t>продукции идет на экспорт, в другие регионы России – около половины.</w:t>
      </w:r>
      <w:r w:rsidR="006724BA">
        <w:rPr>
          <w:rFonts w:ascii="Times New Roman" w:hAnsi="Times New Roman" w:cs="Times New Roman"/>
          <w:sz w:val="28"/>
          <w:szCs w:val="28"/>
        </w:rPr>
        <w:t xml:space="preserve"> </w:t>
      </w:r>
      <w:r w:rsidR="006724BA" w:rsidRPr="006724BA">
        <w:rPr>
          <w:rFonts w:ascii="Times New Roman" w:hAnsi="Times New Roman" w:cs="Times New Roman"/>
          <w:sz w:val="28"/>
          <w:szCs w:val="28"/>
        </w:rPr>
        <w:t>Такая большая доля экспортных поставок ставит экономику области в</w:t>
      </w:r>
      <w:r w:rsidR="006724BA">
        <w:rPr>
          <w:rFonts w:ascii="Times New Roman" w:hAnsi="Times New Roman" w:cs="Times New Roman"/>
          <w:sz w:val="28"/>
          <w:szCs w:val="28"/>
        </w:rPr>
        <w:t xml:space="preserve"> </w:t>
      </w:r>
      <w:r w:rsidR="006724BA" w:rsidRPr="006724BA">
        <w:rPr>
          <w:rFonts w:ascii="Times New Roman" w:hAnsi="Times New Roman" w:cs="Times New Roman"/>
          <w:sz w:val="28"/>
          <w:szCs w:val="28"/>
        </w:rPr>
        <w:t>сильную зависимость от стабильности мировых рынков. Динамика ВРП</w:t>
      </w:r>
      <w:r w:rsidR="006724BA">
        <w:rPr>
          <w:rFonts w:ascii="Times New Roman" w:hAnsi="Times New Roman" w:cs="Times New Roman"/>
          <w:sz w:val="28"/>
          <w:szCs w:val="28"/>
        </w:rPr>
        <w:t xml:space="preserve"> </w:t>
      </w:r>
      <w:r w:rsidR="006724BA" w:rsidRPr="006724BA">
        <w:rPr>
          <w:rFonts w:ascii="Times New Roman" w:hAnsi="Times New Roman" w:cs="Times New Roman"/>
          <w:sz w:val="28"/>
          <w:szCs w:val="28"/>
        </w:rPr>
        <w:t>и экспорта области имеют сильную корреляцию (рис. 1).</w:t>
      </w:r>
    </w:p>
    <w:p w:rsidR="009E4A82" w:rsidRDefault="009E4A82" w:rsidP="006724B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0"/>
        </w:rPr>
      </w:pPr>
      <w:r>
        <w:rPr>
          <w:noProof/>
          <w:lang w:eastAsia="ru-RU"/>
        </w:rPr>
        <w:lastRenderedPageBreak/>
        <w:drawing>
          <wp:inline distT="0" distB="0" distL="0" distR="0" wp14:anchorId="1810C283" wp14:editId="5602E16C">
            <wp:extent cx="5783283" cy="2458192"/>
            <wp:effectExtent l="0" t="0" r="8255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BE1D32" w:rsidRPr="006724BA" w:rsidRDefault="006724BA" w:rsidP="006724BA">
      <w:pPr>
        <w:spacing w:after="0" w:line="360" w:lineRule="auto"/>
        <w:jc w:val="center"/>
        <w:rPr>
          <w:rFonts w:ascii="Times New Roman" w:hAnsi="Times New Roman" w:cs="Times New Roman"/>
          <w:sz w:val="36"/>
          <w:szCs w:val="28"/>
        </w:rPr>
      </w:pPr>
      <w:r w:rsidRPr="006724BA">
        <w:rPr>
          <w:rFonts w:ascii="Times New Roman" w:hAnsi="Times New Roman" w:cs="Times New Roman"/>
          <w:sz w:val="24"/>
          <w:szCs w:val="20"/>
        </w:rPr>
        <w:t xml:space="preserve">Рис. 1. </w:t>
      </w:r>
      <w:r w:rsidRPr="006724BA">
        <w:rPr>
          <w:rFonts w:ascii="Times New Roman" w:hAnsi="Times New Roman" w:cs="Times New Roman"/>
          <w:b/>
          <w:bCs/>
          <w:sz w:val="24"/>
          <w:szCs w:val="20"/>
        </w:rPr>
        <w:t>ВРП и экспорт Вологодской области в 2005–201</w:t>
      </w:r>
      <w:r w:rsidR="009E4A82">
        <w:rPr>
          <w:rFonts w:ascii="Times New Roman" w:hAnsi="Times New Roman" w:cs="Times New Roman"/>
          <w:b/>
          <w:bCs/>
          <w:sz w:val="24"/>
          <w:szCs w:val="20"/>
        </w:rPr>
        <w:t>4</w:t>
      </w:r>
      <w:r w:rsidRPr="006724BA">
        <w:rPr>
          <w:rFonts w:ascii="Times New Roman" w:hAnsi="Times New Roman" w:cs="Times New Roman"/>
          <w:b/>
          <w:bCs/>
          <w:sz w:val="24"/>
          <w:szCs w:val="20"/>
        </w:rPr>
        <w:t xml:space="preserve"> годах</w:t>
      </w:r>
    </w:p>
    <w:p w:rsidR="006724BA" w:rsidRDefault="006724BA" w:rsidP="006724B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24BA" w:rsidRPr="00BE1D32" w:rsidRDefault="006724BA" w:rsidP="006724B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24BA">
        <w:rPr>
          <w:rFonts w:ascii="Times New Roman" w:hAnsi="Times New Roman" w:cs="Times New Roman"/>
          <w:sz w:val="28"/>
          <w:szCs w:val="28"/>
        </w:rPr>
        <w:t>На рисунке 2 приведена динамика темпа роста цен на холоднокатаный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24BA">
        <w:rPr>
          <w:rFonts w:ascii="Times New Roman" w:hAnsi="Times New Roman" w:cs="Times New Roman"/>
          <w:sz w:val="28"/>
          <w:szCs w:val="28"/>
        </w:rPr>
        <w:t>лист на мировом и российском рынках в 2008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724BA">
        <w:rPr>
          <w:rFonts w:ascii="Times New Roman" w:hAnsi="Times New Roman" w:cs="Times New Roman"/>
          <w:sz w:val="28"/>
          <w:szCs w:val="28"/>
        </w:rPr>
        <w:t>2012 годах. Из рисунка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24BA">
        <w:rPr>
          <w:rFonts w:ascii="Times New Roman" w:hAnsi="Times New Roman" w:cs="Times New Roman"/>
          <w:sz w:val="28"/>
          <w:szCs w:val="28"/>
        </w:rPr>
        <w:t>видно, что на мировом рынке падение цен в период кризиса было более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24BA">
        <w:rPr>
          <w:rFonts w:ascii="Times New Roman" w:hAnsi="Times New Roman" w:cs="Times New Roman"/>
          <w:sz w:val="28"/>
          <w:szCs w:val="28"/>
        </w:rPr>
        <w:t>значител</w:t>
      </w:r>
      <w:r w:rsidRPr="006724BA">
        <w:rPr>
          <w:rFonts w:ascii="Times New Roman" w:hAnsi="Times New Roman" w:cs="Times New Roman"/>
          <w:sz w:val="28"/>
          <w:szCs w:val="28"/>
        </w:rPr>
        <w:t>ь</w:t>
      </w:r>
      <w:r w:rsidRPr="006724BA">
        <w:rPr>
          <w:rFonts w:ascii="Times New Roman" w:hAnsi="Times New Roman" w:cs="Times New Roman"/>
          <w:sz w:val="28"/>
          <w:szCs w:val="28"/>
        </w:rPr>
        <w:t>ным, чем на российском. Кроме того, цены на российском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24BA">
        <w:rPr>
          <w:rFonts w:ascii="Times New Roman" w:hAnsi="Times New Roman" w:cs="Times New Roman"/>
          <w:sz w:val="28"/>
          <w:szCs w:val="28"/>
        </w:rPr>
        <w:t>рынке быстрее д</w:t>
      </w:r>
      <w:r w:rsidRPr="006724BA">
        <w:rPr>
          <w:rFonts w:ascii="Times New Roman" w:hAnsi="Times New Roman" w:cs="Times New Roman"/>
          <w:sz w:val="28"/>
          <w:szCs w:val="28"/>
        </w:rPr>
        <w:t>о</w:t>
      </w:r>
      <w:r w:rsidRPr="006724BA">
        <w:rPr>
          <w:rFonts w:ascii="Times New Roman" w:hAnsi="Times New Roman" w:cs="Times New Roman"/>
          <w:sz w:val="28"/>
          <w:szCs w:val="28"/>
        </w:rPr>
        <w:t>стигли докризисного уровня.</w:t>
      </w:r>
    </w:p>
    <w:p w:rsidR="00BE1D32" w:rsidRPr="00BE1D32" w:rsidRDefault="006724BA" w:rsidP="006724B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AF0053E" wp14:editId="3505D213">
            <wp:extent cx="5940425" cy="2728616"/>
            <wp:effectExtent l="0" t="0" r="3175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6724BA" w:rsidRPr="006724BA" w:rsidRDefault="006724BA" w:rsidP="006724BA">
      <w:pPr>
        <w:spacing w:after="0" w:line="360" w:lineRule="auto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4"/>
          <w:szCs w:val="20"/>
        </w:rPr>
        <w:t>Рис. 2</w:t>
      </w:r>
      <w:r w:rsidRPr="006724BA">
        <w:rPr>
          <w:rFonts w:ascii="Times New Roman" w:hAnsi="Times New Roman" w:cs="Times New Roman"/>
          <w:sz w:val="24"/>
          <w:szCs w:val="20"/>
        </w:rPr>
        <w:t xml:space="preserve">. </w:t>
      </w:r>
      <w:r w:rsidRPr="006724BA">
        <w:rPr>
          <w:rFonts w:ascii="Times New Roman" w:hAnsi="Times New Roman" w:cs="Times New Roman"/>
          <w:b/>
          <w:bCs/>
          <w:sz w:val="24"/>
          <w:szCs w:val="20"/>
        </w:rPr>
        <w:t>Темп роста цены на холоднокатаный лист на мировом и российском рынках</w:t>
      </w:r>
      <w:r w:rsidR="00FD2508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0"/>
        </w:rPr>
        <w:t>в</w:t>
      </w:r>
      <w:r w:rsidR="00FD2508">
        <w:rPr>
          <w:rFonts w:ascii="Times New Roman" w:hAnsi="Times New Roman" w:cs="Times New Roman"/>
          <w:b/>
          <w:bCs/>
          <w:sz w:val="24"/>
          <w:szCs w:val="20"/>
        </w:rPr>
        <w:t> </w:t>
      </w:r>
      <w:r>
        <w:rPr>
          <w:rFonts w:ascii="Times New Roman" w:hAnsi="Times New Roman" w:cs="Times New Roman"/>
          <w:b/>
          <w:bCs/>
          <w:sz w:val="24"/>
          <w:szCs w:val="20"/>
        </w:rPr>
        <w:t>2008-</w:t>
      </w:r>
      <w:r w:rsidRPr="006724BA">
        <w:rPr>
          <w:rFonts w:ascii="Times New Roman" w:hAnsi="Times New Roman" w:cs="Times New Roman"/>
          <w:b/>
          <w:bCs/>
          <w:sz w:val="24"/>
          <w:szCs w:val="20"/>
        </w:rPr>
        <w:t>2012 годах, % к I кварталу 2008 года</w:t>
      </w:r>
    </w:p>
    <w:p w:rsidR="00BE1D32" w:rsidRDefault="00BE1D32" w:rsidP="006724B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24BA" w:rsidRPr="006724BA" w:rsidRDefault="006724BA" w:rsidP="006724B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24BA">
        <w:rPr>
          <w:rFonts w:ascii="Times New Roman" w:hAnsi="Times New Roman" w:cs="Times New Roman"/>
          <w:sz w:val="28"/>
          <w:szCs w:val="28"/>
        </w:rPr>
        <w:t>Резкое падение цен на мировом рынке привело к падению прибыли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24BA">
        <w:rPr>
          <w:rFonts w:ascii="Times New Roman" w:hAnsi="Times New Roman" w:cs="Times New Roman"/>
          <w:sz w:val="28"/>
          <w:szCs w:val="28"/>
        </w:rPr>
        <w:t>«С</w:t>
      </w:r>
      <w:r w:rsidRPr="006724BA">
        <w:rPr>
          <w:rFonts w:ascii="Times New Roman" w:hAnsi="Times New Roman" w:cs="Times New Roman"/>
          <w:sz w:val="28"/>
          <w:szCs w:val="28"/>
        </w:rPr>
        <w:t>е</w:t>
      </w:r>
      <w:r w:rsidRPr="006724BA">
        <w:rPr>
          <w:rFonts w:ascii="Times New Roman" w:hAnsi="Times New Roman" w:cs="Times New Roman"/>
          <w:sz w:val="28"/>
          <w:szCs w:val="28"/>
        </w:rPr>
        <w:t>верстали» и, как следствие, к снижению поступлений в бюджет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24BA">
        <w:rPr>
          <w:rFonts w:ascii="Times New Roman" w:hAnsi="Times New Roman" w:cs="Times New Roman"/>
          <w:sz w:val="28"/>
          <w:szCs w:val="28"/>
        </w:rPr>
        <w:t>налога на прибыль (в целом снижение поступлений от налога на прибыль в 2009 г. с</w:t>
      </w:r>
      <w:r w:rsidRPr="006724BA">
        <w:rPr>
          <w:rFonts w:ascii="Times New Roman" w:hAnsi="Times New Roman" w:cs="Times New Roman"/>
          <w:sz w:val="28"/>
          <w:szCs w:val="28"/>
        </w:rPr>
        <w:t>о</w:t>
      </w:r>
      <w:r w:rsidRPr="006724BA">
        <w:rPr>
          <w:rFonts w:ascii="Times New Roman" w:hAnsi="Times New Roman" w:cs="Times New Roman"/>
          <w:sz w:val="28"/>
          <w:szCs w:val="28"/>
        </w:rPr>
        <w:lastRenderedPageBreak/>
        <w:t>ставило 75%, что привело к падению налоговых доходов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24BA">
        <w:rPr>
          <w:rFonts w:ascii="Times New Roman" w:hAnsi="Times New Roman" w:cs="Times New Roman"/>
          <w:sz w:val="28"/>
          <w:szCs w:val="28"/>
        </w:rPr>
        <w:t>областного бюджета на 46%).</w:t>
      </w:r>
    </w:p>
    <w:p w:rsidR="006724BA" w:rsidRDefault="006724BA" w:rsidP="006724B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24BA">
        <w:rPr>
          <w:rFonts w:ascii="Times New Roman" w:hAnsi="Times New Roman" w:cs="Times New Roman"/>
          <w:sz w:val="28"/>
          <w:szCs w:val="28"/>
        </w:rPr>
        <w:t>В этой связи развитие и расширение внутреннего рынка – первоочере</w:t>
      </w:r>
      <w:r w:rsidRPr="006724BA">
        <w:rPr>
          <w:rFonts w:ascii="Times New Roman" w:hAnsi="Times New Roman" w:cs="Times New Roman"/>
          <w:sz w:val="28"/>
          <w:szCs w:val="28"/>
        </w:rPr>
        <w:t>д</w:t>
      </w:r>
      <w:r w:rsidRPr="006724BA">
        <w:rPr>
          <w:rFonts w:ascii="Times New Roman" w:hAnsi="Times New Roman" w:cs="Times New Roman"/>
          <w:sz w:val="28"/>
          <w:szCs w:val="28"/>
        </w:rPr>
        <w:t>ная задача для повышения экономической безопасности региона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24BA">
        <w:rPr>
          <w:rFonts w:ascii="Times New Roman" w:hAnsi="Times New Roman" w:cs="Times New Roman"/>
          <w:sz w:val="28"/>
          <w:szCs w:val="28"/>
        </w:rPr>
        <w:t>страны в целом.</w:t>
      </w:r>
      <w:r w:rsidR="00FD2508">
        <w:rPr>
          <w:rFonts w:ascii="Times New Roman" w:hAnsi="Times New Roman" w:cs="Times New Roman"/>
          <w:sz w:val="28"/>
          <w:szCs w:val="28"/>
        </w:rPr>
        <w:t xml:space="preserve"> </w:t>
      </w:r>
      <w:r w:rsidRPr="006724BA">
        <w:rPr>
          <w:rFonts w:ascii="Times New Roman" w:hAnsi="Times New Roman" w:cs="Times New Roman"/>
          <w:sz w:val="28"/>
          <w:szCs w:val="28"/>
        </w:rPr>
        <w:t>На наш взгляд, у нынешнего руководства страны есть понимание данной проблемы.</w:t>
      </w:r>
    </w:p>
    <w:p w:rsidR="006724BA" w:rsidRDefault="006724BA" w:rsidP="006724B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24BA">
        <w:rPr>
          <w:rFonts w:ascii="Times New Roman" w:hAnsi="Times New Roman" w:cs="Times New Roman"/>
          <w:sz w:val="28"/>
          <w:szCs w:val="28"/>
        </w:rPr>
        <w:t>До 1999 года регионы России устанавливали экономические связи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24BA">
        <w:rPr>
          <w:rFonts w:ascii="Times New Roman" w:hAnsi="Times New Roman" w:cs="Times New Roman"/>
          <w:sz w:val="28"/>
          <w:szCs w:val="28"/>
        </w:rPr>
        <w:t>сам</w:t>
      </w:r>
      <w:r w:rsidRPr="006724BA">
        <w:rPr>
          <w:rFonts w:ascii="Times New Roman" w:hAnsi="Times New Roman" w:cs="Times New Roman"/>
          <w:sz w:val="28"/>
          <w:szCs w:val="28"/>
        </w:rPr>
        <w:t>о</w:t>
      </w:r>
      <w:r w:rsidRPr="006724BA">
        <w:rPr>
          <w:rFonts w:ascii="Times New Roman" w:hAnsi="Times New Roman" w:cs="Times New Roman"/>
          <w:sz w:val="28"/>
          <w:szCs w:val="28"/>
        </w:rPr>
        <w:t>стоятельно (рис. 3). Правительства республик, краев и областей подписывали двусторонние договоры о сотрудничестве, и такого типа межрегиональные взаимодействия связывали регионы друг с другом.</w:t>
      </w:r>
    </w:p>
    <w:p w:rsidR="006724BA" w:rsidRDefault="006724BA" w:rsidP="006724B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24BA">
        <w:rPr>
          <w:rFonts w:ascii="Times New Roman" w:hAnsi="Times New Roman" w:cs="Times New Roman"/>
          <w:sz w:val="28"/>
          <w:szCs w:val="28"/>
        </w:rPr>
        <w:t>После 2000 года к расширению внутреннего рынка стали подходить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24BA">
        <w:rPr>
          <w:rFonts w:ascii="Times New Roman" w:hAnsi="Times New Roman" w:cs="Times New Roman"/>
          <w:sz w:val="28"/>
          <w:szCs w:val="28"/>
        </w:rPr>
        <w:t>б</w:t>
      </w:r>
      <w:r w:rsidRPr="006724BA">
        <w:rPr>
          <w:rFonts w:ascii="Times New Roman" w:hAnsi="Times New Roman" w:cs="Times New Roman"/>
          <w:sz w:val="28"/>
          <w:szCs w:val="28"/>
        </w:rPr>
        <w:t>о</w:t>
      </w:r>
      <w:r w:rsidRPr="006724BA">
        <w:rPr>
          <w:rFonts w:ascii="Times New Roman" w:hAnsi="Times New Roman" w:cs="Times New Roman"/>
          <w:sz w:val="28"/>
          <w:szCs w:val="28"/>
        </w:rPr>
        <w:t>лее централизованно. В целях обеспечения реализации Президентом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24BA">
        <w:rPr>
          <w:rFonts w:ascii="Times New Roman" w:hAnsi="Times New Roman" w:cs="Times New Roman"/>
          <w:sz w:val="28"/>
          <w:szCs w:val="28"/>
        </w:rPr>
        <w:t>РФ св</w:t>
      </w:r>
      <w:r w:rsidRPr="006724BA">
        <w:rPr>
          <w:rFonts w:ascii="Times New Roman" w:hAnsi="Times New Roman" w:cs="Times New Roman"/>
          <w:sz w:val="28"/>
          <w:szCs w:val="28"/>
        </w:rPr>
        <w:t>о</w:t>
      </w:r>
      <w:r w:rsidRPr="006724BA">
        <w:rPr>
          <w:rFonts w:ascii="Times New Roman" w:hAnsi="Times New Roman" w:cs="Times New Roman"/>
          <w:sz w:val="28"/>
          <w:szCs w:val="28"/>
        </w:rPr>
        <w:t>их конституционных полномочий, повышения эффективности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24BA">
        <w:rPr>
          <w:rFonts w:ascii="Times New Roman" w:hAnsi="Times New Roman" w:cs="Times New Roman"/>
          <w:sz w:val="28"/>
          <w:szCs w:val="28"/>
        </w:rPr>
        <w:t>деятельности федеральных органов государственной власти и совершенствования системы контроля за исполнением их решений были организованы федеральные окр</w:t>
      </w:r>
      <w:r w:rsidRPr="006724BA">
        <w:rPr>
          <w:rFonts w:ascii="Times New Roman" w:hAnsi="Times New Roman" w:cs="Times New Roman"/>
          <w:sz w:val="28"/>
          <w:szCs w:val="28"/>
        </w:rPr>
        <w:t>у</w:t>
      </w:r>
      <w:r w:rsidRPr="006724BA">
        <w:rPr>
          <w:rFonts w:ascii="Times New Roman" w:hAnsi="Times New Roman" w:cs="Times New Roman"/>
          <w:sz w:val="28"/>
          <w:szCs w:val="28"/>
        </w:rPr>
        <w:t>га. Экономические функции федеральных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24BA">
        <w:rPr>
          <w:rFonts w:ascii="Times New Roman" w:hAnsi="Times New Roman" w:cs="Times New Roman"/>
          <w:sz w:val="28"/>
          <w:szCs w:val="28"/>
        </w:rPr>
        <w:t>округов свелись к решению вопр</w:t>
      </w:r>
      <w:r w:rsidRPr="006724BA">
        <w:rPr>
          <w:rFonts w:ascii="Times New Roman" w:hAnsi="Times New Roman" w:cs="Times New Roman"/>
          <w:sz w:val="28"/>
          <w:szCs w:val="28"/>
        </w:rPr>
        <w:t>о</w:t>
      </w:r>
      <w:r w:rsidRPr="006724BA">
        <w:rPr>
          <w:rFonts w:ascii="Times New Roman" w:hAnsi="Times New Roman" w:cs="Times New Roman"/>
          <w:sz w:val="28"/>
          <w:szCs w:val="28"/>
        </w:rPr>
        <w:t>сов стратегической координации регионального развития, инвестиционной деятельности и межрегиональных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24BA">
        <w:rPr>
          <w:rFonts w:ascii="Times New Roman" w:hAnsi="Times New Roman" w:cs="Times New Roman"/>
          <w:sz w:val="28"/>
          <w:szCs w:val="28"/>
        </w:rPr>
        <w:t>связей.</w:t>
      </w:r>
    </w:p>
    <w:p w:rsidR="009E4A82" w:rsidRDefault="009E4A82" w:rsidP="009E4A8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DB5E5D2" wp14:editId="263E9184">
            <wp:extent cx="5781675" cy="27432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FD2508" w:rsidRPr="00FD2508" w:rsidRDefault="00FD2508" w:rsidP="00FD250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0"/>
        </w:rPr>
      </w:pPr>
      <w:r w:rsidRPr="00FD2508">
        <w:rPr>
          <w:rFonts w:ascii="Times New Roman" w:hAnsi="Times New Roman" w:cs="Times New Roman"/>
          <w:sz w:val="24"/>
          <w:szCs w:val="20"/>
        </w:rPr>
        <w:t xml:space="preserve">Рис. 3. </w:t>
      </w:r>
      <w:r w:rsidRPr="00FD2508">
        <w:rPr>
          <w:rFonts w:ascii="Times New Roman" w:hAnsi="Times New Roman" w:cs="Times New Roman"/>
          <w:b/>
          <w:sz w:val="24"/>
          <w:szCs w:val="20"/>
        </w:rPr>
        <w:t>Динамика вывоза товаров организациями-производителями организациями</w:t>
      </w:r>
    </w:p>
    <w:p w:rsidR="00FD2508" w:rsidRPr="00FD2508" w:rsidRDefault="00FD2508" w:rsidP="00FD250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0"/>
        </w:rPr>
      </w:pPr>
      <w:r w:rsidRPr="00FD2508">
        <w:rPr>
          <w:rFonts w:ascii="Times New Roman" w:hAnsi="Times New Roman" w:cs="Times New Roman"/>
          <w:b/>
          <w:sz w:val="24"/>
          <w:szCs w:val="20"/>
        </w:rPr>
        <w:t>оптовой торговли из субъектов РФ</w:t>
      </w:r>
      <w:r w:rsidRPr="00FD2508">
        <w:rPr>
          <w:rFonts w:ascii="Times New Roman" w:hAnsi="Times New Roman" w:cs="Times New Roman"/>
          <w:sz w:val="24"/>
          <w:szCs w:val="20"/>
        </w:rPr>
        <w:t>, % к 1991 году</w:t>
      </w:r>
    </w:p>
    <w:p w:rsidR="009E4A82" w:rsidRDefault="009E4A82" w:rsidP="00FD250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D2508" w:rsidRDefault="00FD2508" w:rsidP="00FD250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D2508">
        <w:rPr>
          <w:rFonts w:ascii="Times New Roman" w:hAnsi="Times New Roman" w:cs="Times New Roman"/>
          <w:sz w:val="28"/>
          <w:szCs w:val="28"/>
        </w:rPr>
        <w:lastRenderedPageBreak/>
        <w:t>В 2007 году начал формироваться Таможенный союз России, Белору</w:t>
      </w:r>
      <w:r w:rsidRPr="00FD2508">
        <w:rPr>
          <w:rFonts w:ascii="Times New Roman" w:hAnsi="Times New Roman" w:cs="Times New Roman"/>
          <w:sz w:val="28"/>
          <w:szCs w:val="28"/>
        </w:rPr>
        <w:t>с</w:t>
      </w:r>
      <w:r w:rsidRPr="00FD2508">
        <w:rPr>
          <w:rFonts w:ascii="Times New Roman" w:hAnsi="Times New Roman" w:cs="Times New Roman"/>
          <w:sz w:val="28"/>
          <w:szCs w:val="28"/>
        </w:rPr>
        <w:t>сии и Казахстана. В 2012 году началась ратификация соглашений о зоне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2508">
        <w:rPr>
          <w:rFonts w:ascii="Times New Roman" w:hAnsi="Times New Roman" w:cs="Times New Roman"/>
          <w:sz w:val="28"/>
          <w:szCs w:val="28"/>
        </w:rPr>
        <w:t>св</w:t>
      </w:r>
      <w:r w:rsidRPr="00FD2508">
        <w:rPr>
          <w:rFonts w:ascii="Times New Roman" w:hAnsi="Times New Roman" w:cs="Times New Roman"/>
          <w:sz w:val="28"/>
          <w:szCs w:val="28"/>
        </w:rPr>
        <w:t>о</w:t>
      </w:r>
      <w:r w:rsidRPr="00FD2508">
        <w:rPr>
          <w:rFonts w:ascii="Times New Roman" w:hAnsi="Times New Roman" w:cs="Times New Roman"/>
          <w:sz w:val="28"/>
          <w:szCs w:val="28"/>
        </w:rPr>
        <w:t>бодной торговли между Беларусью, Украиной и Россией. Процесс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2508">
        <w:rPr>
          <w:rFonts w:ascii="Times New Roman" w:hAnsi="Times New Roman" w:cs="Times New Roman"/>
          <w:sz w:val="28"/>
          <w:szCs w:val="28"/>
        </w:rPr>
        <w:t>интегр</w:t>
      </w:r>
      <w:r w:rsidRPr="00FD2508">
        <w:rPr>
          <w:rFonts w:ascii="Times New Roman" w:hAnsi="Times New Roman" w:cs="Times New Roman"/>
          <w:sz w:val="28"/>
          <w:szCs w:val="28"/>
        </w:rPr>
        <w:t>а</w:t>
      </w:r>
      <w:r w:rsidRPr="00FD2508">
        <w:rPr>
          <w:rFonts w:ascii="Times New Roman" w:hAnsi="Times New Roman" w:cs="Times New Roman"/>
          <w:sz w:val="28"/>
          <w:szCs w:val="28"/>
        </w:rPr>
        <w:t>ции на постсоветском пространстве идет полным ходом.</w:t>
      </w:r>
    </w:p>
    <w:p w:rsidR="00FD2508" w:rsidRPr="00FD2508" w:rsidRDefault="00FD2508" w:rsidP="00FD250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D2508">
        <w:rPr>
          <w:rFonts w:ascii="Times New Roman" w:hAnsi="Times New Roman" w:cs="Times New Roman"/>
          <w:sz w:val="28"/>
          <w:szCs w:val="28"/>
        </w:rPr>
        <w:t>Смысл современных интеграционных процессов в этом свете проступает вполне явственно: формирование достаточно мощных экономических гру</w:t>
      </w:r>
      <w:r w:rsidRPr="00FD2508">
        <w:rPr>
          <w:rFonts w:ascii="Times New Roman" w:hAnsi="Times New Roman" w:cs="Times New Roman"/>
          <w:sz w:val="28"/>
          <w:szCs w:val="28"/>
        </w:rPr>
        <w:t>п</w:t>
      </w:r>
      <w:r w:rsidRPr="00FD2508">
        <w:rPr>
          <w:rFonts w:ascii="Times New Roman" w:hAnsi="Times New Roman" w:cs="Times New Roman"/>
          <w:sz w:val="28"/>
          <w:szCs w:val="28"/>
        </w:rPr>
        <w:t>пировок, способных быть эффективными в международной конкуренции, и построение экономик, обеспечивающих за счет замкнутости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2508">
        <w:rPr>
          <w:rFonts w:ascii="Times New Roman" w:hAnsi="Times New Roman" w:cs="Times New Roman"/>
          <w:sz w:val="28"/>
          <w:szCs w:val="28"/>
        </w:rPr>
        <w:t>воспроизво</w:t>
      </w:r>
      <w:r w:rsidRPr="00FD2508">
        <w:rPr>
          <w:rFonts w:ascii="Times New Roman" w:hAnsi="Times New Roman" w:cs="Times New Roman"/>
          <w:sz w:val="28"/>
          <w:szCs w:val="28"/>
        </w:rPr>
        <w:t>д</w:t>
      </w:r>
      <w:r w:rsidRPr="00FD2508">
        <w:rPr>
          <w:rFonts w:ascii="Times New Roman" w:hAnsi="Times New Roman" w:cs="Times New Roman"/>
          <w:sz w:val="28"/>
          <w:szCs w:val="28"/>
        </w:rPr>
        <w:t>ственного контура устойчивость и независимость в этой конкурентной бор</w:t>
      </w:r>
      <w:r w:rsidRPr="00FD2508">
        <w:rPr>
          <w:rFonts w:ascii="Times New Roman" w:hAnsi="Times New Roman" w:cs="Times New Roman"/>
          <w:sz w:val="28"/>
          <w:szCs w:val="28"/>
        </w:rPr>
        <w:t>ь</w:t>
      </w:r>
      <w:r w:rsidRPr="00FD2508">
        <w:rPr>
          <w:rFonts w:ascii="Times New Roman" w:hAnsi="Times New Roman" w:cs="Times New Roman"/>
          <w:sz w:val="28"/>
          <w:szCs w:val="28"/>
        </w:rPr>
        <w:t>бе.</w:t>
      </w:r>
    </w:p>
    <w:p w:rsidR="00FD2508" w:rsidRPr="00FD2508" w:rsidRDefault="00FD2508" w:rsidP="00FD250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D2508">
        <w:rPr>
          <w:rFonts w:ascii="Times New Roman" w:hAnsi="Times New Roman" w:cs="Times New Roman"/>
          <w:sz w:val="28"/>
          <w:szCs w:val="28"/>
        </w:rPr>
        <w:t>Развитие межрегиональных торгово-экономических отношений спосо</w:t>
      </w:r>
      <w:r w:rsidRPr="00FD2508">
        <w:rPr>
          <w:rFonts w:ascii="Times New Roman" w:hAnsi="Times New Roman" w:cs="Times New Roman"/>
          <w:sz w:val="28"/>
          <w:szCs w:val="28"/>
        </w:rPr>
        <w:t>б</w:t>
      </w:r>
      <w:r w:rsidRPr="00FD2508">
        <w:rPr>
          <w:rFonts w:ascii="Times New Roman" w:hAnsi="Times New Roman" w:cs="Times New Roman"/>
          <w:sz w:val="28"/>
          <w:szCs w:val="28"/>
        </w:rPr>
        <w:t>ствует самосохранению крупной экономической системы, усиливает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2508">
        <w:rPr>
          <w:rFonts w:ascii="Times New Roman" w:hAnsi="Times New Roman" w:cs="Times New Roman"/>
          <w:sz w:val="28"/>
          <w:szCs w:val="28"/>
        </w:rPr>
        <w:t>инт</w:t>
      </w:r>
      <w:r w:rsidRPr="00FD2508">
        <w:rPr>
          <w:rFonts w:ascii="Times New Roman" w:hAnsi="Times New Roman" w:cs="Times New Roman"/>
          <w:sz w:val="28"/>
          <w:szCs w:val="28"/>
        </w:rPr>
        <w:t>е</w:t>
      </w:r>
      <w:r w:rsidRPr="00FD2508">
        <w:rPr>
          <w:rFonts w:ascii="Times New Roman" w:hAnsi="Times New Roman" w:cs="Times New Roman"/>
          <w:sz w:val="28"/>
          <w:szCs w:val="28"/>
        </w:rPr>
        <w:t>грационные процессы и формирует экономические предпосылки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2508">
        <w:rPr>
          <w:rFonts w:ascii="Times New Roman" w:hAnsi="Times New Roman" w:cs="Times New Roman"/>
          <w:sz w:val="28"/>
          <w:szCs w:val="28"/>
        </w:rPr>
        <w:t>образ</w:t>
      </w:r>
      <w:r w:rsidRPr="00FD2508">
        <w:rPr>
          <w:rFonts w:ascii="Times New Roman" w:hAnsi="Times New Roman" w:cs="Times New Roman"/>
          <w:sz w:val="28"/>
          <w:szCs w:val="28"/>
        </w:rPr>
        <w:t>о</w:t>
      </w:r>
      <w:r w:rsidRPr="00FD2508">
        <w:rPr>
          <w:rFonts w:ascii="Times New Roman" w:hAnsi="Times New Roman" w:cs="Times New Roman"/>
          <w:sz w:val="28"/>
          <w:szCs w:val="28"/>
        </w:rPr>
        <w:t>вания единого экономического, а затем и политического пространства гос</w:t>
      </w:r>
      <w:r w:rsidRPr="00FD2508">
        <w:rPr>
          <w:rFonts w:ascii="Times New Roman" w:hAnsi="Times New Roman" w:cs="Times New Roman"/>
          <w:sz w:val="28"/>
          <w:szCs w:val="28"/>
        </w:rPr>
        <w:t>у</w:t>
      </w:r>
      <w:r w:rsidRPr="00FD2508">
        <w:rPr>
          <w:rFonts w:ascii="Times New Roman" w:hAnsi="Times New Roman" w:cs="Times New Roman"/>
          <w:sz w:val="28"/>
          <w:szCs w:val="28"/>
        </w:rPr>
        <w:t>дарства. Поэтому с точки зрения национальной безопасности 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2508">
        <w:rPr>
          <w:rFonts w:ascii="Times New Roman" w:hAnsi="Times New Roman" w:cs="Times New Roman"/>
          <w:sz w:val="28"/>
          <w:szCs w:val="28"/>
        </w:rPr>
        <w:t>представл</w:t>
      </w:r>
      <w:r w:rsidRPr="00FD2508">
        <w:rPr>
          <w:rFonts w:ascii="Times New Roman" w:hAnsi="Times New Roman" w:cs="Times New Roman"/>
          <w:sz w:val="28"/>
          <w:szCs w:val="28"/>
        </w:rPr>
        <w:t>я</w:t>
      </w:r>
      <w:r w:rsidRPr="00FD2508">
        <w:rPr>
          <w:rFonts w:ascii="Times New Roman" w:hAnsi="Times New Roman" w:cs="Times New Roman"/>
          <w:sz w:val="28"/>
          <w:szCs w:val="28"/>
        </w:rPr>
        <w:t>ется исключительно важным.</w:t>
      </w:r>
    </w:p>
    <w:p w:rsidR="00FD2508" w:rsidRPr="00FD2508" w:rsidRDefault="00FD2508" w:rsidP="00FD250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D2508">
        <w:rPr>
          <w:rFonts w:ascii="Times New Roman" w:hAnsi="Times New Roman" w:cs="Times New Roman"/>
          <w:sz w:val="28"/>
          <w:szCs w:val="28"/>
        </w:rPr>
        <w:t>ИСЭРТ РАН проводит ежегодный опрос руководителей средних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2508">
        <w:rPr>
          <w:rFonts w:ascii="Times New Roman" w:hAnsi="Times New Roman" w:cs="Times New Roman"/>
          <w:sz w:val="28"/>
          <w:szCs w:val="28"/>
        </w:rPr>
        <w:t>кру</w:t>
      </w:r>
      <w:r w:rsidRPr="00FD2508">
        <w:rPr>
          <w:rFonts w:ascii="Times New Roman" w:hAnsi="Times New Roman" w:cs="Times New Roman"/>
          <w:sz w:val="28"/>
          <w:szCs w:val="28"/>
        </w:rPr>
        <w:t>п</w:t>
      </w:r>
      <w:r w:rsidRPr="00FD2508">
        <w:rPr>
          <w:rFonts w:ascii="Times New Roman" w:hAnsi="Times New Roman" w:cs="Times New Roman"/>
          <w:sz w:val="28"/>
          <w:szCs w:val="28"/>
        </w:rPr>
        <w:t>ных промышленных предприятий области. В опросе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9E4A82">
        <w:rPr>
          <w:rFonts w:ascii="Times New Roman" w:hAnsi="Times New Roman" w:cs="Times New Roman"/>
          <w:sz w:val="28"/>
          <w:szCs w:val="28"/>
        </w:rPr>
        <w:t>5</w:t>
      </w:r>
      <w:r w:rsidRPr="00FD2508">
        <w:rPr>
          <w:rFonts w:ascii="Times New Roman" w:hAnsi="Times New Roman" w:cs="Times New Roman"/>
          <w:sz w:val="28"/>
          <w:szCs w:val="28"/>
        </w:rPr>
        <w:t xml:space="preserve"> года приняло уч</w:t>
      </w:r>
      <w:r w:rsidRPr="00FD2508">
        <w:rPr>
          <w:rFonts w:ascii="Times New Roman" w:hAnsi="Times New Roman" w:cs="Times New Roman"/>
          <w:sz w:val="28"/>
          <w:szCs w:val="28"/>
        </w:rPr>
        <w:t>а</w:t>
      </w:r>
      <w:r w:rsidRPr="00FD2508">
        <w:rPr>
          <w:rFonts w:ascii="Times New Roman" w:hAnsi="Times New Roman" w:cs="Times New Roman"/>
          <w:sz w:val="28"/>
          <w:szCs w:val="28"/>
        </w:rPr>
        <w:t xml:space="preserve">стие почти </w:t>
      </w:r>
      <w:r w:rsidR="009E4A82">
        <w:rPr>
          <w:rFonts w:ascii="Times New Roman" w:hAnsi="Times New Roman" w:cs="Times New Roman"/>
          <w:sz w:val="28"/>
          <w:szCs w:val="28"/>
        </w:rPr>
        <w:t>70</w:t>
      </w:r>
      <w:r w:rsidRPr="00FD2508">
        <w:rPr>
          <w:rFonts w:ascii="Times New Roman" w:hAnsi="Times New Roman" w:cs="Times New Roman"/>
          <w:sz w:val="28"/>
          <w:szCs w:val="28"/>
        </w:rPr>
        <w:t xml:space="preserve"> руководителей. О взаимодействии с партнерами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2508">
        <w:rPr>
          <w:rFonts w:ascii="Times New Roman" w:hAnsi="Times New Roman" w:cs="Times New Roman"/>
          <w:sz w:val="28"/>
          <w:szCs w:val="28"/>
        </w:rPr>
        <w:t>России по Т</w:t>
      </w:r>
      <w:r w:rsidRPr="00FD2508">
        <w:rPr>
          <w:rFonts w:ascii="Times New Roman" w:hAnsi="Times New Roman" w:cs="Times New Roman"/>
          <w:sz w:val="28"/>
          <w:szCs w:val="28"/>
        </w:rPr>
        <w:t>а</w:t>
      </w:r>
      <w:r w:rsidRPr="00FD2508">
        <w:rPr>
          <w:rFonts w:ascii="Times New Roman" w:hAnsi="Times New Roman" w:cs="Times New Roman"/>
          <w:sz w:val="28"/>
          <w:szCs w:val="28"/>
        </w:rPr>
        <w:t>моженному союзу – Белоруссией и Казахстаном – заявили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2508">
        <w:rPr>
          <w:rFonts w:ascii="Times New Roman" w:hAnsi="Times New Roman" w:cs="Times New Roman"/>
          <w:sz w:val="28"/>
          <w:szCs w:val="28"/>
        </w:rPr>
        <w:t>46% респонде</w:t>
      </w:r>
      <w:r w:rsidRPr="00FD2508">
        <w:rPr>
          <w:rFonts w:ascii="Times New Roman" w:hAnsi="Times New Roman" w:cs="Times New Roman"/>
          <w:sz w:val="28"/>
          <w:szCs w:val="28"/>
        </w:rPr>
        <w:t>н</w:t>
      </w:r>
      <w:r w:rsidRPr="00FD2508">
        <w:rPr>
          <w:rFonts w:ascii="Times New Roman" w:hAnsi="Times New Roman" w:cs="Times New Roman"/>
          <w:sz w:val="28"/>
          <w:szCs w:val="28"/>
        </w:rPr>
        <w:t>тов, причем основная масса контактов вологодских обрабатывающих прои</w:t>
      </w:r>
      <w:r w:rsidRPr="00FD2508">
        <w:rPr>
          <w:rFonts w:ascii="Times New Roman" w:hAnsi="Times New Roman" w:cs="Times New Roman"/>
          <w:sz w:val="28"/>
          <w:szCs w:val="28"/>
        </w:rPr>
        <w:t>з</w:t>
      </w:r>
      <w:r w:rsidRPr="00FD2508">
        <w:rPr>
          <w:rFonts w:ascii="Times New Roman" w:hAnsi="Times New Roman" w:cs="Times New Roman"/>
          <w:sz w:val="28"/>
          <w:szCs w:val="28"/>
        </w:rPr>
        <w:t>водств приходится именно на предприятия Беларуси.</w:t>
      </w:r>
    </w:p>
    <w:p w:rsidR="008304D7" w:rsidRDefault="00FD2508" w:rsidP="00B72A8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D2508">
        <w:rPr>
          <w:rFonts w:ascii="Times New Roman" w:hAnsi="Times New Roman" w:cs="Times New Roman"/>
          <w:sz w:val="28"/>
          <w:szCs w:val="28"/>
        </w:rPr>
        <w:t>Традиционно главным направлением сотрудничества предприятий явл</w:t>
      </w:r>
      <w:r w:rsidRPr="00FD2508">
        <w:rPr>
          <w:rFonts w:ascii="Times New Roman" w:hAnsi="Times New Roman" w:cs="Times New Roman"/>
          <w:sz w:val="28"/>
          <w:szCs w:val="28"/>
        </w:rPr>
        <w:t>я</w:t>
      </w:r>
      <w:r w:rsidRPr="00FD2508">
        <w:rPr>
          <w:rFonts w:ascii="Times New Roman" w:hAnsi="Times New Roman" w:cs="Times New Roman"/>
          <w:sz w:val="28"/>
          <w:szCs w:val="28"/>
        </w:rPr>
        <w:t>ется реализация продукции (</w:t>
      </w:r>
      <w:r w:rsidR="00B72A85">
        <w:rPr>
          <w:rFonts w:ascii="Times New Roman" w:hAnsi="Times New Roman" w:cs="Times New Roman"/>
          <w:sz w:val="28"/>
          <w:szCs w:val="28"/>
        </w:rPr>
        <w:t>75</w:t>
      </w:r>
      <w:r w:rsidRPr="00FD2508">
        <w:rPr>
          <w:rFonts w:ascii="Times New Roman" w:hAnsi="Times New Roman" w:cs="Times New Roman"/>
          <w:sz w:val="28"/>
          <w:szCs w:val="28"/>
        </w:rPr>
        <w:t>%) и обеспечение сырьем (</w:t>
      </w:r>
      <w:r w:rsidR="00B72A85">
        <w:rPr>
          <w:rFonts w:ascii="Times New Roman" w:hAnsi="Times New Roman" w:cs="Times New Roman"/>
          <w:sz w:val="28"/>
          <w:szCs w:val="28"/>
        </w:rPr>
        <w:t>58</w:t>
      </w:r>
      <w:r w:rsidRPr="00FD2508">
        <w:rPr>
          <w:rFonts w:ascii="Times New Roman" w:hAnsi="Times New Roman" w:cs="Times New Roman"/>
          <w:sz w:val="28"/>
          <w:szCs w:val="28"/>
        </w:rPr>
        <w:t>%; рис. 4). К с</w:t>
      </w:r>
      <w:r w:rsidRPr="00FD2508">
        <w:rPr>
          <w:rFonts w:ascii="Times New Roman" w:hAnsi="Times New Roman" w:cs="Times New Roman"/>
          <w:sz w:val="28"/>
          <w:szCs w:val="28"/>
        </w:rPr>
        <w:t>о</w:t>
      </w:r>
      <w:r w:rsidRPr="00FD2508">
        <w:rPr>
          <w:rFonts w:ascii="Times New Roman" w:hAnsi="Times New Roman" w:cs="Times New Roman"/>
          <w:sz w:val="28"/>
          <w:szCs w:val="28"/>
        </w:rPr>
        <w:t>жалению, другие перспективные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2508">
        <w:rPr>
          <w:rFonts w:ascii="Times New Roman" w:hAnsi="Times New Roman" w:cs="Times New Roman"/>
          <w:sz w:val="28"/>
          <w:szCs w:val="28"/>
        </w:rPr>
        <w:t>направления сотрудничества (обмен техн</w:t>
      </w:r>
      <w:r w:rsidRPr="00FD2508">
        <w:rPr>
          <w:rFonts w:ascii="Times New Roman" w:hAnsi="Times New Roman" w:cs="Times New Roman"/>
          <w:sz w:val="28"/>
          <w:szCs w:val="28"/>
        </w:rPr>
        <w:t>о</w:t>
      </w:r>
      <w:r w:rsidRPr="00FD2508">
        <w:rPr>
          <w:rFonts w:ascii="Times New Roman" w:hAnsi="Times New Roman" w:cs="Times New Roman"/>
          <w:sz w:val="28"/>
          <w:szCs w:val="28"/>
        </w:rPr>
        <w:t>логиями, инвестиционная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2508">
        <w:rPr>
          <w:rFonts w:ascii="Times New Roman" w:hAnsi="Times New Roman" w:cs="Times New Roman"/>
          <w:sz w:val="28"/>
          <w:szCs w:val="28"/>
        </w:rPr>
        <w:t>деятельность, образование и повышение квалиф</w:t>
      </w:r>
      <w:r w:rsidRPr="00FD2508">
        <w:rPr>
          <w:rFonts w:ascii="Times New Roman" w:hAnsi="Times New Roman" w:cs="Times New Roman"/>
          <w:sz w:val="28"/>
          <w:szCs w:val="28"/>
        </w:rPr>
        <w:t>и</w:t>
      </w:r>
      <w:r w:rsidRPr="00FD2508">
        <w:rPr>
          <w:rFonts w:ascii="Times New Roman" w:hAnsi="Times New Roman" w:cs="Times New Roman"/>
          <w:sz w:val="28"/>
          <w:szCs w:val="28"/>
        </w:rPr>
        <w:t>кации) либо осуществляются с минимальным успехом, либо вовсе не ос</w:t>
      </w:r>
      <w:r w:rsidRPr="00FD2508">
        <w:rPr>
          <w:rFonts w:ascii="Times New Roman" w:hAnsi="Times New Roman" w:cs="Times New Roman"/>
          <w:sz w:val="28"/>
          <w:szCs w:val="28"/>
        </w:rPr>
        <w:t>у</w:t>
      </w:r>
      <w:r w:rsidRPr="00FD2508">
        <w:rPr>
          <w:rFonts w:ascii="Times New Roman" w:hAnsi="Times New Roman" w:cs="Times New Roman"/>
          <w:sz w:val="28"/>
          <w:szCs w:val="28"/>
        </w:rPr>
        <w:t>ществляются.</w:t>
      </w:r>
    </w:p>
    <w:p w:rsidR="00B72A85" w:rsidRDefault="00B72A85" w:rsidP="008304D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0"/>
        </w:rPr>
      </w:pPr>
      <w:r>
        <w:rPr>
          <w:noProof/>
          <w:lang w:eastAsia="ru-RU"/>
        </w:rPr>
        <w:lastRenderedPageBreak/>
        <w:drawing>
          <wp:inline distT="0" distB="0" distL="0" distR="0" wp14:anchorId="58030336" wp14:editId="069F0C35">
            <wp:extent cx="5353050" cy="2743200"/>
            <wp:effectExtent l="0" t="0" r="0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304D7" w:rsidRPr="008304D7" w:rsidRDefault="008304D7" w:rsidP="008304D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0"/>
        </w:rPr>
      </w:pPr>
      <w:r w:rsidRPr="008304D7">
        <w:rPr>
          <w:rFonts w:ascii="Times New Roman" w:hAnsi="Times New Roman" w:cs="Times New Roman"/>
          <w:sz w:val="24"/>
          <w:szCs w:val="20"/>
        </w:rPr>
        <w:t xml:space="preserve">Рис. 4. </w:t>
      </w:r>
      <w:r w:rsidRPr="008304D7">
        <w:rPr>
          <w:rFonts w:ascii="Times New Roman" w:hAnsi="Times New Roman" w:cs="Times New Roman"/>
          <w:b/>
          <w:sz w:val="24"/>
          <w:szCs w:val="20"/>
        </w:rPr>
        <w:t>Направления сотрудничества промышленных предприятий Вологодской о</w:t>
      </w:r>
      <w:r w:rsidRPr="008304D7">
        <w:rPr>
          <w:rFonts w:ascii="Times New Roman" w:hAnsi="Times New Roman" w:cs="Times New Roman"/>
          <w:b/>
          <w:sz w:val="24"/>
          <w:szCs w:val="20"/>
        </w:rPr>
        <w:t>б</w:t>
      </w:r>
      <w:r w:rsidRPr="008304D7">
        <w:rPr>
          <w:rFonts w:ascii="Times New Roman" w:hAnsi="Times New Roman" w:cs="Times New Roman"/>
          <w:b/>
          <w:sz w:val="24"/>
          <w:szCs w:val="20"/>
        </w:rPr>
        <w:t xml:space="preserve">ласти с предприятиями/организациями </w:t>
      </w:r>
      <w:r w:rsidRPr="008304D7">
        <w:rPr>
          <w:rFonts w:ascii="Times New Roman" w:hAnsi="Times New Roman" w:cs="Times New Roman"/>
          <w:b/>
          <w:sz w:val="24"/>
          <w:szCs w:val="28"/>
        </w:rPr>
        <w:t>ЕАЭС</w:t>
      </w:r>
      <w:r w:rsidRPr="008304D7">
        <w:rPr>
          <w:rFonts w:ascii="Times New Roman" w:hAnsi="Times New Roman" w:cs="Times New Roman"/>
          <w:sz w:val="24"/>
          <w:szCs w:val="20"/>
        </w:rPr>
        <w:t>, % к итогу</w:t>
      </w:r>
    </w:p>
    <w:p w:rsidR="008304D7" w:rsidRDefault="008304D7" w:rsidP="008304D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304D7" w:rsidRDefault="008304D7" w:rsidP="008304D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D2508">
        <w:rPr>
          <w:rFonts w:ascii="Times New Roman" w:hAnsi="Times New Roman" w:cs="Times New Roman"/>
          <w:sz w:val="28"/>
          <w:szCs w:val="28"/>
        </w:rPr>
        <w:t>Развитию подобного рода отношений препятствует множество факт</w:t>
      </w:r>
      <w:r w:rsidRPr="00FD2508">
        <w:rPr>
          <w:rFonts w:ascii="Times New Roman" w:hAnsi="Times New Roman" w:cs="Times New Roman"/>
          <w:sz w:val="28"/>
          <w:szCs w:val="28"/>
        </w:rPr>
        <w:t>о</w:t>
      </w:r>
      <w:r w:rsidRPr="00FD2508">
        <w:rPr>
          <w:rFonts w:ascii="Times New Roman" w:hAnsi="Times New Roman" w:cs="Times New Roman"/>
          <w:sz w:val="28"/>
          <w:szCs w:val="28"/>
        </w:rPr>
        <w:t>ров: удаленность контрагентов (</w:t>
      </w:r>
      <w:r w:rsidR="00B72A85">
        <w:rPr>
          <w:rFonts w:ascii="Times New Roman" w:hAnsi="Times New Roman" w:cs="Times New Roman"/>
          <w:sz w:val="28"/>
          <w:szCs w:val="28"/>
        </w:rPr>
        <w:t>3</w:t>
      </w:r>
      <w:r w:rsidRPr="00FD2508">
        <w:rPr>
          <w:rFonts w:ascii="Times New Roman" w:hAnsi="Times New Roman" w:cs="Times New Roman"/>
          <w:sz w:val="28"/>
          <w:szCs w:val="28"/>
        </w:rPr>
        <w:t>9%)</w:t>
      </w:r>
      <w:r w:rsidR="00B72A85">
        <w:rPr>
          <w:rFonts w:ascii="Times New Roman" w:hAnsi="Times New Roman" w:cs="Times New Roman"/>
          <w:sz w:val="28"/>
          <w:szCs w:val="28"/>
        </w:rPr>
        <w:t xml:space="preserve"> и</w:t>
      </w:r>
      <w:r w:rsidRPr="00FD2508">
        <w:rPr>
          <w:rFonts w:ascii="Times New Roman" w:hAnsi="Times New Roman" w:cs="Times New Roman"/>
          <w:sz w:val="28"/>
          <w:szCs w:val="28"/>
        </w:rPr>
        <w:t xml:space="preserve"> высокая конкуренция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2508">
        <w:rPr>
          <w:rFonts w:ascii="Times New Roman" w:hAnsi="Times New Roman" w:cs="Times New Roman"/>
          <w:sz w:val="28"/>
          <w:szCs w:val="28"/>
        </w:rPr>
        <w:t>на рынке (</w:t>
      </w:r>
      <w:r w:rsidR="00B72A85">
        <w:rPr>
          <w:rFonts w:ascii="Times New Roman" w:hAnsi="Times New Roman" w:cs="Times New Roman"/>
          <w:sz w:val="28"/>
          <w:szCs w:val="28"/>
        </w:rPr>
        <w:t>30</w:t>
      </w:r>
      <w:r w:rsidRPr="00FD2508">
        <w:rPr>
          <w:rFonts w:ascii="Times New Roman" w:hAnsi="Times New Roman" w:cs="Times New Roman"/>
          <w:sz w:val="28"/>
          <w:szCs w:val="28"/>
        </w:rPr>
        <w:t>%; рис. 5).</w:t>
      </w:r>
    </w:p>
    <w:p w:rsidR="008304D7" w:rsidRDefault="008304D7" w:rsidP="008304D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75140C8" wp14:editId="732F0262">
            <wp:extent cx="6020789" cy="2743200"/>
            <wp:effectExtent l="0" t="0" r="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8304D7" w:rsidRPr="008304D7" w:rsidRDefault="008304D7" w:rsidP="008304D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0"/>
        </w:rPr>
      </w:pPr>
      <w:r w:rsidRPr="008304D7">
        <w:rPr>
          <w:rFonts w:ascii="Times New Roman" w:hAnsi="Times New Roman" w:cs="Times New Roman"/>
          <w:sz w:val="24"/>
          <w:szCs w:val="20"/>
        </w:rPr>
        <w:t xml:space="preserve">Рис. 5. </w:t>
      </w:r>
      <w:r w:rsidRPr="008304D7">
        <w:rPr>
          <w:rFonts w:ascii="Times New Roman" w:hAnsi="Times New Roman" w:cs="Times New Roman"/>
          <w:b/>
          <w:sz w:val="24"/>
          <w:szCs w:val="20"/>
        </w:rPr>
        <w:t>Препятствия развитию торгово-экономических отношений между</w:t>
      </w:r>
      <w:r w:rsidR="008508D4">
        <w:rPr>
          <w:rFonts w:ascii="Times New Roman" w:hAnsi="Times New Roman" w:cs="Times New Roman"/>
          <w:b/>
          <w:sz w:val="24"/>
          <w:szCs w:val="20"/>
        </w:rPr>
        <w:br/>
      </w:r>
      <w:r w:rsidRPr="008304D7">
        <w:rPr>
          <w:rFonts w:ascii="Times New Roman" w:hAnsi="Times New Roman" w:cs="Times New Roman"/>
          <w:b/>
          <w:sz w:val="24"/>
          <w:szCs w:val="20"/>
        </w:rPr>
        <w:t xml:space="preserve">предприятиями </w:t>
      </w:r>
      <w:r w:rsidR="008508D4" w:rsidRPr="008304D7">
        <w:rPr>
          <w:rFonts w:ascii="Times New Roman" w:hAnsi="Times New Roman" w:cs="Times New Roman"/>
          <w:b/>
          <w:sz w:val="24"/>
          <w:szCs w:val="28"/>
        </w:rPr>
        <w:t>ЕАЭС</w:t>
      </w:r>
      <w:r w:rsidRPr="008304D7">
        <w:rPr>
          <w:rFonts w:ascii="Times New Roman" w:hAnsi="Times New Roman" w:cs="Times New Roman"/>
          <w:sz w:val="24"/>
          <w:szCs w:val="20"/>
        </w:rPr>
        <w:t>, % к итогу</w:t>
      </w:r>
    </w:p>
    <w:p w:rsidR="008304D7" w:rsidRDefault="008304D7" w:rsidP="008304D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508D4" w:rsidRPr="008508D4" w:rsidRDefault="008508D4" w:rsidP="008508D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08D4">
        <w:rPr>
          <w:rFonts w:ascii="Times New Roman" w:hAnsi="Times New Roman" w:cs="Times New Roman"/>
          <w:sz w:val="28"/>
          <w:szCs w:val="28"/>
        </w:rPr>
        <w:t>Для развития межрегиональных торгово-экономических отношений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08D4">
        <w:rPr>
          <w:rFonts w:ascii="Times New Roman" w:hAnsi="Times New Roman" w:cs="Times New Roman"/>
          <w:sz w:val="28"/>
          <w:szCs w:val="28"/>
        </w:rPr>
        <w:t>о</w:t>
      </w:r>
      <w:r w:rsidRPr="008508D4">
        <w:rPr>
          <w:rFonts w:ascii="Times New Roman" w:hAnsi="Times New Roman" w:cs="Times New Roman"/>
          <w:sz w:val="28"/>
          <w:szCs w:val="28"/>
        </w:rPr>
        <w:t>р</w:t>
      </w:r>
      <w:r w:rsidRPr="008508D4">
        <w:rPr>
          <w:rFonts w:ascii="Times New Roman" w:hAnsi="Times New Roman" w:cs="Times New Roman"/>
          <w:sz w:val="28"/>
          <w:szCs w:val="28"/>
        </w:rPr>
        <w:t>ганам власти следует принять следующие меры:</w:t>
      </w:r>
    </w:p>
    <w:p w:rsidR="00B72A85" w:rsidRPr="00B72A85" w:rsidRDefault="00B72A85" w:rsidP="00B72A8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–</w:t>
      </w:r>
      <w:r>
        <w:t> 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72A85">
        <w:rPr>
          <w:rFonts w:ascii="Times New Roman" w:hAnsi="Times New Roman" w:cs="Times New Roman"/>
          <w:sz w:val="28"/>
          <w:szCs w:val="28"/>
        </w:rPr>
        <w:t>оздать систему продвижения продукции на рынки других регионов (организация выставок, ярмарок, презентаций, продвижение региональных брендов и торговых марок и т.д.</w:t>
      </w:r>
      <w:r>
        <w:rPr>
          <w:rFonts w:ascii="Times New Roman" w:hAnsi="Times New Roman" w:cs="Times New Roman"/>
          <w:sz w:val="28"/>
          <w:szCs w:val="28"/>
        </w:rPr>
        <w:t>; 41,8%</w:t>
      </w:r>
      <w:r w:rsidRPr="00B72A8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72A85" w:rsidRPr="00B72A85" w:rsidRDefault="00B72A85" w:rsidP="00B72A8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с</w:t>
      </w:r>
      <w:r w:rsidRPr="00B72A85">
        <w:rPr>
          <w:rFonts w:ascii="Times New Roman" w:hAnsi="Times New Roman" w:cs="Times New Roman"/>
          <w:sz w:val="28"/>
          <w:szCs w:val="28"/>
        </w:rPr>
        <w:t>оздать единый государственный информационный портал в сфере межрегионального сотрудничества</w:t>
      </w:r>
      <w:r>
        <w:rPr>
          <w:rFonts w:ascii="Times New Roman" w:hAnsi="Times New Roman" w:cs="Times New Roman"/>
          <w:sz w:val="28"/>
          <w:szCs w:val="28"/>
        </w:rPr>
        <w:t xml:space="preserve"> (40,3%);</w:t>
      </w:r>
    </w:p>
    <w:p w:rsidR="00B72A85" w:rsidRPr="00B72A85" w:rsidRDefault="00B72A85" w:rsidP="00B72A8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о</w:t>
      </w:r>
      <w:r w:rsidRPr="00B72A85">
        <w:rPr>
          <w:rFonts w:ascii="Times New Roman" w:hAnsi="Times New Roman" w:cs="Times New Roman"/>
          <w:sz w:val="28"/>
          <w:szCs w:val="28"/>
        </w:rPr>
        <w:t>рганизовать проведение мероприятий в целях налаживания деловых контактов</w:t>
      </w:r>
      <w:r>
        <w:rPr>
          <w:rFonts w:ascii="Times New Roman" w:hAnsi="Times New Roman" w:cs="Times New Roman"/>
          <w:sz w:val="28"/>
          <w:szCs w:val="28"/>
        </w:rPr>
        <w:t xml:space="preserve"> (23,9%);</w:t>
      </w:r>
    </w:p>
    <w:p w:rsidR="00B72A85" w:rsidRPr="00B72A85" w:rsidRDefault="00B72A85" w:rsidP="00B72A8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о</w:t>
      </w:r>
      <w:r w:rsidRPr="00B72A85">
        <w:rPr>
          <w:rFonts w:ascii="Times New Roman" w:hAnsi="Times New Roman" w:cs="Times New Roman"/>
          <w:sz w:val="28"/>
          <w:szCs w:val="28"/>
        </w:rPr>
        <w:t>рганизовать межрегиональные институты развития инвестиционной направленности (инвестиционные, страховые, венчурные фонды, совместные инжиниринговые центры, межрегиональные банки развития</w:t>
      </w:r>
      <w:r>
        <w:rPr>
          <w:rFonts w:ascii="Times New Roman" w:hAnsi="Times New Roman" w:cs="Times New Roman"/>
          <w:sz w:val="28"/>
          <w:szCs w:val="28"/>
        </w:rPr>
        <w:t>; 11,9%</w:t>
      </w:r>
      <w:r w:rsidRPr="00B72A8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72A85" w:rsidRDefault="00B72A85" w:rsidP="00B72A8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 о</w:t>
      </w:r>
      <w:r w:rsidRPr="00B72A85">
        <w:rPr>
          <w:rFonts w:ascii="Times New Roman" w:hAnsi="Times New Roman" w:cs="Times New Roman"/>
          <w:sz w:val="28"/>
          <w:szCs w:val="28"/>
        </w:rPr>
        <w:t>рганизовать проведение обучающих семинаров для сотрудников о</w:t>
      </w:r>
      <w:r w:rsidRPr="00B72A85">
        <w:rPr>
          <w:rFonts w:ascii="Times New Roman" w:hAnsi="Times New Roman" w:cs="Times New Roman"/>
          <w:sz w:val="28"/>
          <w:szCs w:val="28"/>
        </w:rPr>
        <w:t>р</w:t>
      </w:r>
      <w:r w:rsidRPr="00B72A85">
        <w:rPr>
          <w:rFonts w:ascii="Times New Roman" w:hAnsi="Times New Roman" w:cs="Times New Roman"/>
          <w:sz w:val="28"/>
          <w:szCs w:val="28"/>
        </w:rPr>
        <w:t>ганов исполнительной власти, занимающихся вопросами межрегионального сотрудничества</w:t>
      </w:r>
      <w:r>
        <w:rPr>
          <w:rFonts w:ascii="Times New Roman" w:hAnsi="Times New Roman" w:cs="Times New Roman"/>
          <w:sz w:val="28"/>
          <w:szCs w:val="28"/>
        </w:rPr>
        <w:t xml:space="preserve"> (1,5%).</w:t>
      </w:r>
    </w:p>
    <w:p w:rsidR="008508D4" w:rsidRDefault="008508D4" w:rsidP="008508D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08D4">
        <w:rPr>
          <w:rFonts w:ascii="Times New Roman" w:hAnsi="Times New Roman" w:cs="Times New Roman"/>
          <w:sz w:val="28"/>
          <w:szCs w:val="28"/>
        </w:rPr>
        <w:t>Выполнение соответствующих рекомендаций будет способствовать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08D4">
        <w:rPr>
          <w:rFonts w:ascii="Times New Roman" w:hAnsi="Times New Roman" w:cs="Times New Roman"/>
          <w:sz w:val="28"/>
          <w:szCs w:val="28"/>
        </w:rPr>
        <w:t>ра</w:t>
      </w:r>
      <w:r w:rsidRPr="008508D4">
        <w:rPr>
          <w:rFonts w:ascii="Times New Roman" w:hAnsi="Times New Roman" w:cs="Times New Roman"/>
          <w:sz w:val="28"/>
          <w:szCs w:val="28"/>
        </w:rPr>
        <w:t>з</w:t>
      </w:r>
      <w:r w:rsidRPr="008508D4">
        <w:rPr>
          <w:rFonts w:ascii="Times New Roman" w:hAnsi="Times New Roman" w:cs="Times New Roman"/>
          <w:sz w:val="28"/>
          <w:szCs w:val="28"/>
        </w:rPr>
        <w:t xml:space="preserve">витию торгово-экономических отношений </w:t>
      </w:r>
      <w:r>
        <w:rPr>
          <w:rFonts w:ascii="Times New Roman" w:hAnsi="Times New Roman" w:cs="Times New Roman"/>
          <w:sz w:val="28"/>
          <w:szCs w:val="28"/>
        </w:rPr>
        <w:t>в рамках ЕАЭС</w:t>
      </w:r>
      <w:r w:rsidRPr="008508D4">
        <w:rPr>
          <w:rFonts w:ascii="Times New Roman" w:hAnsi="Times New Roman" w:cs="Times New Roman"/>
          <w:sz w:val="28"/>
          <w:szCs w:val="28"/>
        </w:rPr>
        <w:t>, формированию достаточно мощной экономической группировки и повышению экономич</w:t>
      </w:r>
      <w:r w:rsidRPr="008508D4">
        <w:rPr>
          <w:rFonts w:ascii="Times New Roman" w:hAnsi="Times New Roman" w:cs="Times New Roman"/>
          <w:sz w:val="28"/>
          <w:szCs w:val="28"/>
        </w:rPr>
        <w:t>е</w:t>
      </w:r>
      <w:r w:rsidRPr="008508D4">
        <w:rPr>
          <w:rFonts w:ascii="Times New Roman" w:hAnsi="Times New Roman" w:cs="Times New Roman"/>
          <w:sz w:val="28"/>
          <w:szCs w:val="28"/>
        </w:rPr>
        <w:t>ской безопасности.</w:t>
      </w:r>
    </w:p>
    <w:p w:rsidR="008508D4" w:rsidRDefault="008508D4" w:rsidP="008508D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08D4" w:rsidRPr="008508D4" w:rsidRDefault="008508D4" w:rsidP="008508D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08D4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8508D4" w:rsidRPr="008508D4" w:rsidRDefault="008508D4" w:rsidP="008508D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08D4">
        <w:rPr>
          <w:rFonts w:ascii="Times New Roman" w:hAnsi="Times New Roman" w:cs="Times New Roman"/>
          <w:sz w:val="28"/>
          <w:szCs w:val="28"/>
        </w:rPr>
        <w:t>1. Межрегиональное сотрудничество как фактор интеграционных пр</w:t>
      </w:r>
      <w:r w:rsidRPr="008508D4">
        <w:rPr>
          <w:rFonts w:ascii="Times New Roman" w:hAnsi="Times New Roman" w:cs="Times New Roman"/>
          <w:sz w:val="28"/>
          <w:szCs w:val="28"/>
        </w:rPr>
        <w:t>о</w:t>
      </w:r>
      <w:r w:rsidRPr="008508D4">
        <w:rPr>
          <w:rFonts w:ascii="Times New Roman" w:hAnsi="Times New Roman" w:cs="Times New Roman"/>
          <w:sz w:val="28"/>
          <w:szCs w:val="28"/>
        </w:rPr>
        <w:t>цессов России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08D4">
        <w:rPr>
          <w:rFonts w:ascii="Times New Roman" w:hAnsi="Times New Roman" w:cs="Times New Roman"/>
          <w:sz w:val="28"/>
          <w:szCs w:val="28"/>
        </w:rPr>
        <w:t xml:space="preserve">Республики Беларусь [Текст] / Т.В. Ускова, С.М. Дедков, Т.Г. Смирнова, Р.Ю. </w:t>
      </w:r>
      <w:proofErr w:type="spellStart"/>
      <w:r w:rsidRPr="008508D4">
        <w:rPr>
          <w:rFonts w:ascii="Times New Roman" w:hAnsi="Times New Roman" w:cs="Times New Roman"/>
          <w:sz w:val="28"/>
          <w:szCs w:val="28"/>
        </w:rPr>
        <w:t>Селименков</w:t>
      </w:r>
      <w:proofErr w:type="spellEnd"/>
      <w:r w:rsidRPr="008508D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08D4">
        <w:rPr>
          <w:rFonts w:ascii="Times New Roman" w:hAnsi="Times New Roman" w:cs="Times New Roman"/>
          <w:sz w:val="28"/>
          <w:szCs w:val="28"/>
        </w:rPr>
        <w:t xml:space="preserve">В.Я. </w:t>
      </w:r>
      <w:proofErr w:type="spellStart"/>
      <w:r w:rsidRPr="008508D4">
        <w:rPr>
          <w:rFonts w:ascii="Times New Roman" w:hAnsi="Times New Roman" w:cs="Times New Roman"/>
          <w:sz w:val="28"/>
          <w:szCs w:val="28"/>
        </w:rPr>
        <w:t>Асанович</w:t>
      </w:r>
      <w:proofErr w:type="spellEnd"/>
      <w:r w:rsidRPr="008508D4">
        <w:rPr>
          <w:rFonts w:ascii="Times New Roman" w:hAnsi="Times New Roman" w:cs="Times New Roman"/>
          <w:sz w:val="28"/>
          <w:szCs w:val="28"/>
        </w:rPr>
        <w:t>. – Вологда: ИСЭРТ РАН, 2011. – 176 с.</w:t>
      </w:r>
    </w:p>
    <w:p w:rsidR="008508D4" w:rsidRPr="008508D4" w:rsidRDefault="008508D4" w:rsidP="008508D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08D4">
        <w:rPr>
          <w:rFonts w:ascii="Times New Roman" w:hAnsi="Times New Roman" w:cs="Times New Roman"/>
          <w:sz w:val="28"/>
          <w:szCs w:val="28"/>
        </w:rPr>
        <w:t>2. Межрегиональный товарообмен Вологодской области: стат. сборник [Текст] / Вологдастат. – Вологда, 201</w:t>
      </w:r>
      <w:r w:rsidR="00B72A85">
        <w:rPr>
          <w:rFonts w:ascii="Times New Roman" w:hAnsi="Times New Roman" w:cs="Times New Roman"/>
          <w:sz w:val="28"/>
          <w:szCs w:val="28"/>
        </w:rPr>
        <w:t>5</w:t>
      </w:r>
      <w:r w:rsidRPr="008508D4">
        <w:rPr>
          <w:rFonts w:ascii="Times New Roman" w:hAnsi="Times New Roman" w:cs="Times New Roman"/>
          <w:sz w:val="28"/>
          <w:szCs w:val="28"/>
        </w:rPr>
        <w:t>. – 98 с.</w:t>
      </w:r>
    </w:p>
    <w:p w:rsidR="008508D4" w:rsidRPr="008508D4" w:rsidRDefault="008508D4" w:rsidP="008508D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08D4">
        <w:rPr>
          <w:rFonts w:ascii="Times New Roman" w:hAnsi="Times New Roman" w:cs="Times New Roman"/>
          <w:sz w:val="28"/>
          <w:szCs w:val="28"/>
        </w:rPr>
        <w:t>3. Путин, В.В. О наших экономических задачах [Текст] / В.В. Путин // Ведомости.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08D4">
        <w:rPr>
          <w:rFonts w:ascii="Times New Roman" w:hAnsi="Times New Roman" w:cs="Times New Roman"/>
          <w:sz w:val="28"/>
          <w:szCs w:val="28"/>
        </w:rPr>
        <w:t>2012. – 30 января. – № 15(3029).</w:t>
      </w:r>
    </w:p>
    <w:p w:rsidR="008508D4" w:rsidRPr="008508D4" w:rsidRDefault="008508D4" w:rsidP="008508D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08D4">
        <w:rPr>
          <w:rFonts w:ascii="Times New Roman" w:hAnsi="Times New Roman" w:cs="Times New Roman"/>
          <w:sz w:val="28"/>
          <w:szCs w:val="28"/>
        </w:rPr>
        <w:t xml:space="preserve">4. Смирнова, Т.Г. Проблемы восстановительного роста обрабатывающей промышленности экспортоориентированного региона (по материалам опроса </w:t>
      </w:r>
      <w:r w:rsidRPr="008508D4">
        <w:rPr>
          <w:rFonts w:ascii="Times New Roman" w:hAnsi="Times New Roman" w:cs="Times New Roman"/>
          <w:sz w:val="28"/>
          <w:szCs w:val="28"/>
        </w:rPr>
        <w:lastRenderedPageBreak/>
        <w:t>промышленных предприятий Вологодской области) [Текст] / Т.Г. Смирнова, Е.В. Лукин // Экономика и предпринимательство. – 2013. – № 4. – С. 162-173.</w:t>
      </w:r>
    </w:p>
    <w:p w:rsidR="008508D4" w:rsidRPr="008508D4" w:rsidRDefault="008508D4" w:rsidP="008508D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08D4">
        <w:rPr>
          <w:rFonts w:ascii="Times New Roman" w:hAnsi="Times New Roman" w:cs="Times New Roman"/>
          <w:sz w:val="28"/>
          <w:szCs w:val="28"/>
        </w:rPr>
        <w:t>5. Смирнова, Т.Г. Роль экономического взаимодействия территорий в развитии промышленности (на примере Вологодской области) [Текст] / Т.Г. Смирнова, Е.В. Лукин //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08D4">
        <w:rPr>
          <w:rFonts w:ascii="Times New Roman" w:hAnsi="Times New Roman" w:cs="Times New Roman"/>
          <w:sz w:val="28"/>
          <w:szCs w:val="28"/>
        </w:rPr>
        <w:t>Проблемы развития территории. – 2011. –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08D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08D4">
        <w:rPr>
          <w:rFonts w:ascii="Times New Roman" w:hAnsi="Times New Roman" w:cs="Times New Roman"/>
          <w:sz w:val="28"/>
          <w:szCs w:val="28"/>
        </w:rPr>
        <w:t>(54). – С. 14-24.</w:t>
      </w:r>
    </w:p>
    <w:p w:rsidR="002B54AA" w:rsidRDefault="008508D4" w:rsidP="008508D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08D4">
        <w:rPr>
          <w:rFonts w:ascii="Times New Roman" w:hAnsi="Times New Roman" w:cs="Times New Roman"/>
          <w:sz w:val="28"/>
          <w:szCs w:val="28"/>
        </w:rPr>
        <w:t>6. Ускова, Т.В. Межрегиональное взаимодействие как фактор роста эк</w:t>
      </w:r>
      <w:r w:rsidRPr="008508D4">
        <w:rPr>
          <w:rFonts w:ascii="Times New Roman" w:hAnsi="Times New Roman" w:cs="Times New Roman"/>
          <w:sz w:val="28"/>
          <w:szCs w:val="28"/>
        </w:rPr>
        <w:t>о</w:t>
      </w:r>
      <w:r w:rsidRPr="008508D4">
        <w:rPr>
          <w:rFonts w:ascii="Times New Roman" w:hAnsi="Times New Roman" w:cs="Times New Roman"/>
          <w:sz w:val="28"/>
          <w:szCs w:val="28"/>
        </w:rPr>
        <w:t>номики: препринт [Текст] / Т.В. Ускова, Е.В. Лукин. – Вологда: ИСЭРТ РАН, 2013. – 76 с.</w:t>
      </w:r>
    </w:p>
    <w:p w:rsidR="00A74472" w:rsidRDefault="00A74472" w:rsidP="008508D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74472" w:rsidRDefault="00A7447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304D7" w:rsidRDefault="002B54AA" w:rsidP="008508D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об авторе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943"/>
        <w:gridCol w:w="6628"/>
      </w:tblGrid>
      <w:tr w:rsidR="002B54AA" w:rsidTr="002B54AA">
        <w:tc>
          <w:tcPr>
            <w:tcW w:w="2943" w:type="dxa"/>
          </w:tcPr>
          <w:p w:rsidR="002B54AA" w:rsidRDefault="002B54AA" w:rsidP="002B5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54AA">
              <w:rPr>
                <w:rFonts w:ascii="Times New Roman" w:hAnsi="Times New Roman" w:cs="Times New Roman"/>
                <w:sz w:val="28"/>
                <w:szCs w:val="28"/>
              </w:rPr>
              <w:t>ФИО полностью</w:t>
            </w:r>
          </w:p>
        </w:tc>
        <w:tc>
          <w:tcPr>
            <w:tcW w:w="6628" w:type="dxa"/>
          </w:tcPr>
          <w:p w:rsidR="002B54AA" w:rsidRDefault="002B54AA" w:rsidP="002B5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Лукин Евгений Владимирович</w:t>
            </w:r>
          </w:p>
        </w:tc>
      </w:tr>
      <w:tr w:rsidR="002B54AA" w:rsidTr="002B54AA">
        <w:tc>
          <w:tcPr>
            <w:tcW w:w="2943" w:type="dxa"/>
          </w:tcPr>
          <w:p w:rsidR="002B54AA" w:rsidRDefault="002B54AA" w:rsidP="002B5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2B54AA">
              <w:rPr>
                <w:rFonts w:ascii="Times New Roman" w:hAnsi="Times New Roman" w:cs="Times New Roman"/>
                <w:sz w:val="28"/>
                <w:szCs w:val="28"/>
              </w:rPr>
              <w:t>рганизация</w:t>
            </w:r>
          </w:p>
        </w:tc>
        <w:tc>
          <w:tcPr>
            <w:tcW w:w="6628" w:type="dxa"/>
          </w:tcPr>
          <w:p w:rsidR="002B54AA" w:rsidRDefault="002B54AA" w:rsidP="002B5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ФГБУН Институт социально-экономического разв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тия территорий РАН</w:t>
            </w:r>
          </w:p>
        </w:tc>
      </w:tr>
      <w:tr w:rsidR="009E4A82" w:rsidTr="002B54AA">
        <w:tc>
          <w:tcPr>
            <w:tcW w:w="2943" w:type="dxa"/>
          </w:tcPr>
          <w:p w:rsidR="009E4A82" w:rsidRDefault="009E4A82" w:rsidP="002B5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Ученая степень</w:t>
            </w:r>
          </w:p>
        </w:tc>
        <w:tc>
          <w:tcPr>
            <w:tcW w:w="6628" w:type="dxa"/>
          </w:tcPr>
          <w:p w:rsidR="009E4A82" w:rsidRDefault="009E4A82" w:rsidP="002B5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К.э.н.</w:t>
            </w:r>
          </w:p>
        </w:tc>
      </w:tr>
      <w:tr w:rsidR="002B54AA" w:rsidTr="002B54AA">
        <w:tc>
          <w:tcPr>
            <w:tcW w:w="2943" w:type="dxa"/>
          </w:tcPr>
          <w:p w:rsidR="002B54AA" w:rsidRDefault="002B54AA" w:rsidP="002B5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2B54AA">
              <w:rPr>
                <w:rFonts w:ascii="Times New Roman" w:hAnsi="Times New Roman" w:cs="Times New Roman"/>
                <w:sz w:val="28"/>
                <w:szCs w:val="28"/>
              </w:rPr>
              <w:t>олжность</w:t>
            </w:r>
          </w:p>
        </w:tc>
        <w:tc>
          <w:tcPr>
            <w:tcW w:w="6628" w:type="dxa"/>
          </w:tcPr>
          <w:p w:rsidR="002B54AA" w:rsidRDefault="009E4A82" w:rsidP="009E4A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зав. лабораторией, н</w:t>
            </w:r>
            <w:r w:rsidR="002B54AA">
              <w:rPr>
                <w:rFonts w:ascii="Times New Roman" w:hAnsi="Times New Roman" w:cs="Times New Roman"/>
                <w:sz w:val="28"/>
                <w:szCs w:val="28"/>
              </w:rPr>
              <w:t>аучный сотрудник</w:t>
            </w:r>
          </w:p>
        </w:tc>
      </w:tr>
      <w:tr w:rsidR="002B54AA" w:rsidTr="002B54AA">
        <w:tc>
          <w:tcPr>
            <w:tcW w:w="2943" w:type="dxa"/>
          </w:tcPr>
          <w:p w:rsidR="002B54AA" w:rsidRDefault="002B54AA" w:rsidP="002B5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Pr="002B54AA">
              <w:rPr>
                <w:rFonts w:ascii="Times New Roman" w:hAnsi="Times New Roman" w:cs="Times New Roman"/>
                <w:sz w:val="28"/>
                <w:szCs w:val="28"/>
              </w:rPr>
              <w:t>лектронная почта</w:t>
            </w:r>
          </w:p>
        </w:tc>
        <w:tc>
          <w:tcPr>
            <w:tcW w:w="6628" w:type="dxa"/>
          </w:tcPr>
          <w:p w:rsidR="002B54AA" w:rsidRPr="009E4A82" w:rsidRDefault="002B54AA" w:rsidP="002B5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lukin</w:t>
            </w:r>
            <w:proofErr w:type="spellEnd"/>
            <w:r w:rsidRPr="009E4A82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ev</w:t>
            </w:r>
            <w:proofErr w:type="spellEnd"/>
            <w:r w:rsidRPr="009E4A82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list</w:t>
            </w:r>
            <w:r w:rsidRPr="009E4A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2B54AA" w:rsidTr="002B54AA">
        <w:tc>
          <w:tcPr>
            <w:tcW w:w="2943" w:type="dxa"/>
          </w:tcPr>
          <w:p w:rsidR="002B54AA" w:rsidRDefault="002B54AA" w:rsidP="002B5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54AA">
              <w:rPr>
                <w:rFonts w:ascii="Times New Roman" w:hAnsi="Times New Roman" w:cs="Times New Roman"/>
                <w:sz w:val="28"/>
                <w:szCs w:val="28"/>
              </w:rPr>
              <w:t>SPIN</w:t>
            </w:r>
          </w:p>
        </w:tc>
        <w:tc>
          <w:tcPr>
            <w:tcW w:w="6628" w:type="dxa"/>
          </w:tcPr>
          <w:p w:rsidR="002B54AA" w:rsidRDefault="002B54AA" w:rsidP="002B5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54AA">
              <w:rPr>
                <w:rFonts w:ascii="Times New Roman" w:hAnsi="Times New Roman" w:cs="Times New Roman"/>
                <w:sz w:val="28"/>
                <w:szCs w:val="28"/>
              </w:rPr>
              <w:t>7220-9768</w:t>
            </w:r>
          </w:p>
        </w:tc>
      </w:tr>
    </w:tbl>
    <w:p w:rsidR="002B54AA" w:rsidRPr="00BE1D32" w:rsidRDefault="002B54AA" w:rsidP="002B54A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2B54AA" w:rsidRPr="00BE1D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A82" w:rsidRDefault="009E4A82" w:rsidP="008304D7">
      <w:pPr>
        <w:spacing w:after="0" w:line="240" w:lineRule="auto"/>
      </w:pPr>
      <w:r>
        <w:separator/>
      </w:r>
    </w:p>
  </w:endnote>
  <w:endnote w:type="continuationSeparator" w:id="0">
    <w:p w:rsidR="009E4A82" w:rsidRDefault="009E4A82" w:rsidP="00830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A82" w:rsidRDefault="009E4A82" w:rsidP="008304D7">
      <w:pPr>
        <w:spacing w:after="0" w:line="240" w:lineRule="auto"/>
      </w:pPr>
      <w:r>
        <w:separator/>
      </w:r>
    </w:p>
  </w:footnote>
  <w:footnote w:type="continuationSeparator" w:id="0">
    <w:p w:rsidR="009E4A82" w:rsidRDefault="009E4A82" w:rsidP="008304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F1B"/>
    <w:rsid w:val="002B54AA"/>
    <w:rsid w:val="006724BA"/>
    <w:rsid w:val="00774F1B"/>
    <w:rsid w:val="008304D7"/>
    <w:rsid w:val="008508D4"/>
    <w:rsid w:val="009E4A82"/>
    <w:rsid w:val="009E5427"/>
    <w:rsid w:val="00A452C6"/>
    <w:rsid w:val="00A74472"/>
    <w:rsid w:val="00B72A85"/>
    <w:rsid w:val="00BE1D32"/>
    <w:rsid w:val="00FB71F7"/>
    <w:rsid w:val="00FD2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2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24B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304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304D7"/>
  </w:style>
  <w:style w:type="paragraph" w:styleId="a7">
    <w:name w:val="footer"/>
    <w:basedOn w:val="a"/>
    <w:link w:val="a8"/>
    <w:uiPriority w:val="99"/>
    <w:unhideWhenUsed/>
    <w:rsid w:val="008304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304D7"/>
  </w:style>
  <w:style w:type="character" w:customStyle="1" w:styleId="apple-converted-space">
    <w:name w:val="apple-converted-space"/>
    <w:basedOn w:val="a0"/>
    <w:rsid w:val="002B54AA"/>
  </w:style>
  <w:style w:type="table" w:styleId="a9">
    <w:name w:val="Table Grid"/>
    <w:basedOn w:val="a1"/>
    <w:uiPriority w:val="59"/>
    <w:rsid w:val="002B5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2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24B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304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304D7"/>
  </w:style>
  <w:style w:type="paragraph" w:styleId="a7">
    <w:name w:val="footer"/>
    <w:basedOn w:val="a"/>
    <w:link w:val="a8"/>
    <w:uiPriority w:val="99"/>
    <w:unhideWhenUsed/>
    <w:rsid w:val="008304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304D7"/>
  </w:style>
  <w:style w:type="character" w:customStyle="1" w:styleId="apple-converted-space">
    <w:name w:val="apple-converted-space"/>
    <w:basedOn w:val="a0"/>
    <w:rsid w:val="002B54AA"/>
  </w:style>
  <w:style w:type="table" w:styleId="a9">
    <w:name w:val="Table Grid"/>
    <w:basedOn w:val="a1"/>
    <w:uiPriority w:val="59"/>
    <w:rsid w:val="002B5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0" Type="http://schemas.openxmlformats.org/officeDocument/2006/relationships/chart" Target="charts/chart4.xml"/><Relationship Id="rId4" Type="http://schemas.openxmlformats.org/officeDocument/2006/relationships/webSettings" Target="webSettings.xml"/><Relationship Id="rId9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1.bin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_____Microsoft_Excel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2.bin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3.bin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'[Диаграмма в Microsoft Word]Лист1'!$B$4</c:f>
              <c:strCache>
                <c:ptCount val="1"/>
                <c:pt idx="0">
                  <c:v>ВРП, млрд. руб.</c:v>
                </c:pt>
              </c:strCache>
            </c:strRef>
          </c:tx>
          <c:spPr>
            <a:ln w="12700">
              <a:solidFill>
                <a:schemeClr val="tx1"/>
              </a:solidFill>
              <a:prstDash val="dash"/>
            </a:ln>
          </c:spPr>
          <c:marker>
            <c:symbol val="circle"/>
            <c:size val="4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marker>
          <c:dLbls>
            <c:dLbl>
              <c:idx val="9"/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'[Диаграмма в Microsoft Word]Лист1'!$C$3:$L$3</c:f>
              <c:strCache>
                <c:ptCount val="10"/>
                <c:pt idx="0">
                  <c:v>2005 г.</c:v>
                </c:pt>
                <c:pt idx="1">
                  <c:v>2006 г.</c:v>
                </c:pt>
                <c:pt idx="2">
                  <c:v>2007 г.</c:v>
                </c:pt>
                <c:pt idx="3">
                  <c:v>2008 г.</c:v>
                </c:pt>
                <c:pt idx="4">
                  <c:v>2009 г.</c:v>
                </c:pt>
                <c:pt idx="5">
                  <c:v>2010 г.</c:v>
                </c:pt>
                <c:pt idx="6">
                  <c:v>2011 г.</c:v>
                </c:pt>
                <c:pt idx="7">
                  <c:v>2012 г.</c:v>
                </c:pt>
                <c:pt idx="8">
                  <c:v>2013 г.</c:v>
                </c:pt>
                <c:pt idx="9">
                  <c:v>2014 г.</c:v>
                </c:pt>
              </c:strCache>
            </c:strRef>
          </c:cat>
          <c:val>
            <c:numRef>
              <c:f>'[Диаграмма в Microsoft Word]Лист1'!$C$4:$L$4</c:f>
              <c:numCache>
                <c:formatCode>0.0</c:formatCode>
                <c:ptCount val="10"/>
                <c:pt idx="0">
                  <c:v>193.96600000000001</c:v>
                </c:pt>
                <c:pt idx="1">
                  <c:v>201.93899999999999</c:v>
                </c:pt>
                <c:pt idx="2">
                  <c:v>243.33600000000001</c:v>
                </c:pt>
                <c:pt idx="3">
                  <c:v>294.92599999999999</c:v>
                </c:pt>
                <c:pt idx="4">
                  <c:v>213.39699999999999</c:v>
                </c:pt>
                <c:pt idx="5">
                  <c:v>262.43299999999999</c:v>
                </c:pt>
                <c:pt idx="6">
                  <c:v>323.06799999999998</c:v>
                </c:pt>
                <c:pt idx="7">
                  <c:v>355.291</c:v>
                </c:pt>
                <c:pt idx="8">
                  <c:v>346.22800000000001</c:v>
                </c:pt>
                <c:pt idx="9">
                  <c:v>388.40300000000002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34476928"/>
        <c:axId val="134478464"/>
      </c:lineChart>
      <c:lineChart>
        <c:grouping val="standard"/>
        <c:varyColors val="0"/>
        <c:ser>
          <c:idx val="1"/>
          <c:order val="1"/>
          <c:tx>
            <c:strRef>
              <c:f>'[Диаграмма в Microsoft Word]Лист1'!$B$5</c:f>
              <c:strCache>
                <c:ptCount val="1"/>
                <c:pt idx="0">
                  <c:v>Экспорт, млрд. долл. США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square"/>
            <c:size val="4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marker>
          <c:dLbls>
            <c:dLbl>
              <c:idx val="9"/>
              <c:dLblPos val="b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'[Диаграмма в Microsoft Word]Лист1'!$C$3:$L$3</c:f>
              <c:strCache>
                <c:ptCount val="10"/>
                <c:pt idx="0">
                  <c:v>2005 г.</c:v>
                </c:pt>
                <c:pt idx="1">
                  <c:v>2006 г.</c:v>
                </c:pt>
                <c:pt idx="2">
                  <c:v>2007 г.</c:v>
                </c:pt>
                <c:pt idx="3">
                  <c:v>2008 г.</c:v>
                </c:pt>
                <c:pt idx="4">
                  <c:v>2009 г.</c:v>
                </c:pt>
                <c:pt idx="5">
                  <c:v>2010 г.</c:v>
                </c:pt>
                <c:pt idx="6">
                  <c:v>2011 г.</c:v>
                </c:pt>
                <c:pt idx="7">
                  <c:v>2012 г.</c:v>
                </c:pt>
                <c:pt idx="8">
                  <c:v>2013 г.</c:v>
                </c:pt>
                <c:pt idx="9">
                  <c:v>2014 г.</c:v>
                </c:pt>
              </c:strCache>
            </c:strRef>
          </c:cat>
          <c:val>
            <c:numRef>
              <c:f>'[Диаграмма в Microsoft Word]Лист1'!$C$5:$L$5</c:f>
              <c:numCache>
                <c:formatCode>General</c:formatCode>
                <c:ptCount val="10"/>
                <c:pt idx="0">
                  <c:v>3.2</c:v>
                </c:pt>
                <c:pt idx="1">
                  <c:v>2.6</c:v>
                </c:pt>
                <c:pt idx="2">
                  <c:v>3.2</c:v>
                </c:pt>
                <c:pt idx="3" formatCode="0.0">
                  <c:v>4.5503</c:v>
                </c:pt>
                <c:pt idx="4" formatCode="0.0">
                  <c:v>2.3407</c:v>
                </c:pt>
                <c:pt idx="5" formatCode="0.0">
                  <c:v>3.6395999999999997</c:v>
                </c:pt>
                <c:pt idx="6" formatCode="0.0">
                  <c:v>4.3925000000000001</c:v>
                </c:pt>
                <c:pt idx="7" formatCode="0.0">
                  <c:v>4.4336000000000002</c:v>
                </c:pt>
                <c:pt idx="8" formatCode="0.0">
                  <c:v>4.1063000000000001</c:v>
                </c:pt>
                <c:pt idx="9" formatCode="0.0">
                  <c:v>3.5383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46446208"/>
        <c:axId val="146444672"/>
      </c:lineChart>
      <c:catAx>
        <c:axId val="134476928"/>
        <c:scaling>
          <c:orientation val="minMax"/>
        </c:scaling>
        <c:delete val="0"/>
        <c:axPos val="b"/>
        <c:majorTickMark val="out"/>
        <c:minorTickMark val="none"/>
        <c:tickLblPos val="nextTo"/>
        <c:crossAx val="134478464"/>
        <c:crosses val="autoZero"/>
        <c:auto val="1"/>
        <c:lblAlgn val="ctr"/>
        <c:lblOffset val="100"/>
        <c:noMultiLvlLbl val="0"/>
      </c:catAx>
      <c:valAx>
        <c:axId val="134478464"/>
        <c:scaling>
          <c:orientation val="minMax"/>
        </c:scaling>
        <c:delete val="0"/>
        <c:axPos val="l"/>
        <c:numFmt formatCode="0.0" sourceLinked="1"/>
        <c:majorTickMark val="out"/>
        <c:minorTickMark val="none"/>
        <c:tickLblPos val="nextTo"/>
        <c:crossAx val="134476928"/>
        <c:crosses val="autoZero"/>
        <c:crossBetween val="between"/>
      </c:valAx>
      <c:valAx>
        <c:axId val="146444672"/>
        <c:scaling>
          <c:orientation val="minMax"/>
        </c:scaling>
        <c:delete val="0"/>
        <c:axPos val="r"/>
        <c:numFmt formatCode="General" sourceLinked="1"/>
        <c:majorTickMark val="out"/>
        <c:minorTickMark val="none"/>
        <c:tickLblPos val="nextTo"/>
        <c:crossAx val="146446208"/>
        <c:crosses val="max"/>
        <c:crossBetween val="between"/>
      </c:valAx>
      <c:catAx>
        <c:axId val="146446208"/>
        <c:scaling>
          <c:orientation val="minMax"/>
        </c:scaling>
        <c:delete val="1"/>
        <c:axPos val="b"/>
        <c:majorTickMark val="out"/>
        <c:minorTickMark val="none"/>
        <c:tickLblPos val="nextTo"/>
        <c:crossAx val="146444672"/>
        <c:crosses val="autoZero"/>
        <c:auto val="1"/>
        <c:lblAlgn val="ctr"/>
        <c:lblOffset val="100"/>
        <c:noMultiLvlLbl val="0"/>
      </c:catAx>
    </c:plotArea>
    <c:legend>
      <c:legendPos val="r"/>
      <c:layout>
        <c:manualLayout>
          <c:xMode val="edge"/>
          <c:yMode val="edge"/>
          <c:x val="0.63985713482684514"/>
          <c:y val="0.65702354913969085"/>
          <c:w val="0.27604612850082372"/>
          <c:h val="0.14506780402449693"/>
        </c:manualLayout>
      </c:layout>
      <c:overlay val="1"/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800"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Лист1!$B$24</c:f>
              <c:strCache>
                <c:ptCount val="1"/>
                <c:pt idx="0">
                  <c:v>Российский рынок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circle"/>
            <c:size val="4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marker>
          <c:dLbls>
            <c:dLbl>
              <c:idx val="0"/>
              <c:delete val="1"/>
            </c:dLbl>
            <c:dLbl>
              <c:idx val="1"/>
              <c:dLblPos val="b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dLblPos val="b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multiLvlStrRef>
              <c:f>Лист1!$C$22:$V$23</c:f>
              <c:multiLvlStrCache>
                <c:ptCount val="20"/>
                <c:lvl>
                  <c:pt idx="0">
                    <c:v>I квартал</c:v>
                  </c:pt>
                  <c:pt idx="1">
                    <c:v>II квартал</c:v>
                  </c:pt>
                  <c:pt idx="2">
                    <c:v>III квартал</c:v>
                  </c:pt>
                  <c:pt idx="3">
                    <c:v>IV квартал</c:v>
                  </c:pt>
                  <c:pt idx="4">
                    <c:v>I квартал</c:v>
                  </c:pt>
                  <c:pt idx="5">
                    <c:v>II квартал</c:v>
                  </c:pt>
                  <c:pt idx="6">
                    <c:v>III квартал</c:v>
                  </c:pt>
                  <c:pt idx="7">
                    <c:v>IV квартал</c:v>
                  </c:pt>
                  <c:pt idx="8">
                    <c:v>I квартал</c:v>
                  </c:pt>
                  <c:pt idx="9">
                    <c:v>II квартал</c:v>
                  </c:pt>
                  <c:pt idx="10">
                    <c:v>III квартал</c:v>
                  </c:pt>
                  <c:pt idx="11">
                    <c:v>IV квартал</c:v>
                  </c:pt>
                  <c:pt idx="12">
                    <c:v>I квартал</c:v>
                  </c:pt>
                  <c:pt idx="13">
                    <c:v>II квартал</c:v>
                  </c:pt>
                  <c:pt idx="14">
                    <c:v>III квартал</c:v>
                  </c:pt>
                  <c:pt idx="15">
                    <c:v>IV квартал</c:v>
                  </c:pt>
                  <c:pt idx="16">
                    <c:v>I квартал</c:v>
                  </c:pt>
                  <c:pt idx="17">
                    <c:v>II квартал</c:v>
                  </c:pt>
                  <c:pt idx="18">
                    <c:v>III квартал</c:v>
                  </c:pt>
                  <c:pt idx="19">
                    <c:v>IV квартал</c:v>
                  </c:pt>
                </c:lvl>
                <c:lvl>
                  <c:pt idx="0">
                    <c:v>2008 г.</c:v>
                  </c:pt>
                  <c:pt idx="4">
                    <c:v>2009 г.</c:v>
                  </c:pt>
                  <c:pt idx="8">
                    <c:v>2010 г.</c:v>
                  </c:pt>
                  <c:pt idx="12">
                    <c:v>2011 г.</c:v>
                  </c:pt>
                  <c:pt idx="16">
                    <c:v>2012 г.</c:v>
                  </c:pt>
                </c:lvl>
              </c:multiLvlStrCache>
            </c:multiLvlStrRef>
          </c:cat>
          <c:val>
            <c:numRef>
              <c:f>Лист1!$C$24:$V$24</c:f>
              <c:numCache>
                <c:formatCode>General</c:formatCode>
                <c:ptCount val="20"/>
                <c:pt idx="0">
                  <c:v>100</c:v>
                </c:pt>
                <c:pt idx="1">
                  <c:v>113</c:v>
                </c:pt>
                <c:pt idx="2">
                  <c:v>120</c:v>
                </c:pt>
                <c:pt idx="3">
                  <c:v>150</c:v>
                </c:pt>
                <c:pt idx="4">
                  <c:v>134</c:v>
                </c:pt>
                <c:pt idx="5">
                  <c:v>108</c:v>
                </c:pt>
                <c:pt idx="6">
                  <c:v>98</c:v>
                </c:pt>
                <c:pt idx="7">
                  <c:v>105</c:v>
                </c:pt>
                <c:pt idx="8">
                  <c:v>106</c:v>
                </c:pt>
                <c:pt idx="9">
                  <c:v>110</c:v>
                </c:pt>
                <c:pt idx="10">
                  <c:v>127</c:v>
                </c:pt>
                <c:pt idx="11">
                  <c:v>127</c:v>
                </c:pt>
                <c:pt idx="12">
                  <c:v>144</c:v>
                </c:pt>
                <c:pt idx="13">
                  <c:v>146</c:v>
                </c:pt>
                <c:pt idx="14">
                  <c:v>142</c:v>
                </c:pt>
                <c:pt idx="15">
                  <c:v>143</c:v>
                </c:pt>
                <c:pt idx="16">
                  <c:v>140</c:v>
                </c:pt>
                <c:pt idx="17">
                  <c:v>135</c:v>
                </c:pt>
                <c:pt idx="18">
                  <c:v>128</c:v>
                </c:pt>
                <c:pt idx="19">
                  <c:v>120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Лист1!$B$25</c:f>
              <c:strCache>
                <c:ptCount val="1"/>
                <c:pt idx="0">
                  <c:v>Мировой рынок</c:v>
                </c:pt>
              </c:strCache>
            </c:strRef>
          </c:tx>
          <c:spPr>
            <a:ln w="12700">
              <a:solidFill>
                <a:schemeClr val="tx1"/>
              </a:solidFill>
              <a:prstDash val="dash"/>
            </a:ln>
          </c:spPr>
          <c:marker>
            <c:symbol val="square"/>
            <c:size val="4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marker>
          <c:dLbls>
            <c:dLbl>
              <c:idx val="1"/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multiLvlStrRef>
              <c:f>Лист1!$C$22:$V$23</c:f>
              <c:multiLvlStrCache>
                <c:ptCount val="20"/>
                <c:lvl>
                  <c:pt idx="0">
                    <c:v>I квартал</c:v>
                  </c:pt>
                  <c:pt idx="1">
                    <c:v>II квартал</c:v>
                  </c:pt>
                  <c:pt idx="2">
                    <c:v>III квартал</c:v>
                  </c:pt>
                  <c:pt idx="3">
                    <c:v>IV квартал</c:v>
                  </c:pt>
                  <c:pt idx="4">
                    <c:v>I квартал</c:v>
                  </c:pt>
                  <c:pt idx="5">
                    <c:v>II квартал</c:v>
                  </c:pt>
                  <c:pt idx="6">
                    <c:v>III квартал</c:v>
                  </c:pt>
                  <c:pt idx="7">
                    <c:v>IV квартал</c:v>
                  </c:pt>
                  <c:pt idx="8">
                    <c:v>I квартал</c:v>
                  </c:pt>
                  <c:pt idx="9">
                    <c:v>II квартал</c:v>
                  </c:pt>
                  <c:pt idx="10">
                    <c:v>III квартал</c:v>
                  </c:pt>
                  <c:pt idx="11">
                    <c:v>IV квартал</c:v>
                  </c:pt>
                  <c:pt idx="12">
                    <c:v>I квартал</c:v>
                  </c:pt>
                  <c:pt idx="13">
                    <c:v>II квартал</c:v>
                  </c:pt>
                  <c:pt idx="14">
                    <c:v>III квартал</c:v>
                  </c:pt>
                  <c:pt idx="15">
                    <c:v>IV квартал</c:v>
                  </c:pt>
                  <c:pt idx="16">
                    <c:v>I квартал</c:v>
                  </c:pt>
                  <c:pt idx="17">
                    <c:v>II квартал</c:v>
                  </c:pt>
                  <c:pt idx="18">
                    <c:v>III квартал</c:v>
                  </c:pt>
                  <c:pt idx="19">
                    <c:v>IV квартал</c:v>
                  </c:pt>
                </c:lvl>
                <c:lvl>
                  <c:pt idx="0">
                    <c:v>2008 г.</c:v>
                  </c:pt>
                  <c:pt idx="4">
                    <c:v>2009 г.</c:v>
                  </c:pt>
                  <c:pt idx="8">
                    <c:v>2010 г.</c:v>
                  </c:pt>
                  <c:pt idx="12">
                    <c:v>2011 г.</c:v>
                  </c:pt>
                  <c:pt idx="16">
                    <c:v>2012 г.</c:v>
                  </c:pt>
                </c:lvl>
              </c:multiLvlStrCache>
            </c:multiLvlStrRef>
          </c:cat>
          <c:val>
            <c:numRef>
              <c:f>Лист1!$C$25:$V$25</c:f>
              <c:numCache>
                <c:formatCode>General</c:formatCode>
                <c:ptCount val="20"/>
                <c:pt idx="0">
                  <c:v>100</c:v>
                </c:pt>
                <c:pt idx="1">
                  <c:v>142</c:v>
                </c:pt>
                <c:pt idx="2">
                  <c:v>171</c:v>
                </c:pt>
                <c:pt idx="3">
                  <c:v>109</c:v>
                </c:pt>
                <c:pt idx="4">
                  <c:v>74</c:v>
                </c:pt>
                <c:pt idx="5">
                  <c:v>63</c:v>
                </c:pt>
                <c:pt idx="6">
                  <c:v>75</c:v>
                </c:pt>
                <c:pt idx="7">
                  <c:v>81</c:v>
                </c:pt>
                <c:pt idx="8">
                  <c:v>83</c:v>
                </c:pt>
                <c:pt idx="9">
                  <c:v>100</c:v>
                </c:pt>
                <c:pt idx="10">
                  <c:v>91</c:v>
                </c:pt>
                <c:pt idx="11">
                  <c:v>89</c:v>
                </c:pt>
                <c:pt idx="12">
                  <c:v>115</c:v>
                </c:pt>
                <c:pt idx="13">
                  <c:v>108</c:v>
                </c:pt>
                <c:pt idx="14">
                  <c:v>103</c:v>
                </c:pt>
                <c:pt idx="15">
                  <c:v>96</c:v>
                </c:pt>
                <c:pt idx="16">
                  <c:v>90</c:v>
                </c:pt>
                <c:pt idx="17">
                  <c:v>94</c:v>
                </c:pt>
                <c:pt idx="18">
                  <c:v>81</c:v>
                </c:pt>
                <c:pt idx="19">
                  <c:v>85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12876928"/>
        <c:axId val="112882816"/>
      </c:lineChart>
      <c:catAx>
        <c:axId val="112876928"/>
        <c:scaling>
          <c:orientation val="minMax"/>
        </c:scaling>
        <c:delete val="0"/>
        <c:axPos val="b"/>
        <c:majorTickMark val="out"/>
        <c:minorTickMark val="none"/>
        <c:tickLblPos val="nextTo"/>
        <c:crossAx val="112882816"/>
        <c:crosses val="autoZero"/>
        <c:auto val="1"/>
        <c:lblAlgn val="ctr"/>
        <c:lblOffset val="100"/>
        <c:noMultiLvlLbl val="0"/>
      </c:catAx>
      <c:valAx>
        <c:axId val="112882816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11287692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744391281233387"/>
          <c:y val="0.52931794983960334"/>
          <c:w val="0.21386496544391281"/>
          <c:h val="0.14506780402449693"/>
        </c:manualLayout>
      </c:layout>
      <c:overlay val="1"/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800"/>
      </a:pPr>
      <a:endParaRPr lang="ru-RU"/>
    </a:p>
  </c:txPr>
  <c:externalData r:id="rId1">
    <c:autoUpdate val="0"/>
  </c:externalData>
  <c:userShapes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1"/>
          <c:order val="0"/>
          <c:tx>
            <c:strRef>
              <c:f>'[Диаграмма в Microsoft Word]Лист1'!$B$5</c:f>
              <c:strCache>
                <c:ptCount val="1"/>
                <c:pt idx="0">
                  <c:v>Экспорт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square"/>
            <c:size val="4"/>
            <c:spPr>
              <a:solidFill>
                <a:schemeClr val="bg1"/>
              </a:solidFill>
              <a:ln>
                <a:solidFill>
                  <a:schemeClr val="tx1"/>
                </a:solidFill>
              </a:ln>
            </c:spPr>
          </c:marker>
          <c:dLbls>
            <c:dLbl>
              <c:idx val="4"/>
              <c:dLblPos val="b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dLblPos val="b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'[Диаграмма в Microsoft Word]Лист1'!$C$42:$Z$42</c:f>
              <c:strCache>
                <c:ptCount val="24"/>
                <c:pt idx="0">
                  <c:v>1991 г.</c:v>
                </c:pt>
                <c:pt idx="1">
                  <c:v>1992 г.</c:v>
                </c:pt>
                <c:pt idx="2">
                  <c:v>1993 г.</c:v>
                </c:pt>
                <c:pt idx="3">
                  <c:v>1994 г.</c:v>
                </c:pt>
                <c:pt idx="4">
                  <c:v>1995 г.</c:v>
                </c:pt>
                <c:pt idx="5">
                  <c:v>1996 г.</c:v>
                </c:pt>
                <c:pt idx="6">
                  <c:v>1997 г.</c:v>
                </c:pt>
                <c:pt idx="7">
                  <c:v>1998 г.</c:v>
                </c:pt>
                <c:pt idx="8">
                  <c:v>1999 г.</c:v>
                </c:pt>
                <c:pt idx="9">
                  <c:v>2000 г.</c:v>
                </c:pt>
                <c:pt idx="10">
                  <c:v>2001 г.</c:v>
                </c:pt>
                <c:pt idx="11">
                  <c:v>2002 г.</c:v>
                </c:pt>
                <c:pt idx="12">
                  <c:v>2003 г.</c:v>
                </c:pt>
                <c:pt idx="13">
                  <c:v>2004 г.</c:v>
                </c:pt>
                <c:pt idx="14">
                  <c:v>2005 г.</c:v>
                </c:pt>
                <c:pt idx="15">
                  <c:v>2006 г.</c:v>
                </c:pt>
                <c:pt idx="16">
                  <c:v>2007 г.</c:v>
                </c:pt>
                <c:pt idx="17">
                  <c:v>2008 г.</c:v>
                </c:pt>
                <c:pt idx="18">
                  <c:v>2009 г.</c:v>
                </c:pt>
                <c:pt idx="19">
                  <c:v>2010 г.</c:v>
                </c:pt>
                <c:pt idx="20">
                  <c:v>2011 г.</c:v>
                </c:pt>
                <c:pt idx="21">
                  <c:v>2012 г.</c:v>
                </c:pt>
                <c:pt idx="22">
                  <c:v>2013 г.</c:v>
                </c:pt>
                <c:pt idx="23">
                  <c:v>2014 г.</c:v>
                </c:pt>
              </c:strCache>
            </c:strRef>
          </c:cat>
          <c:val>
            <c:numRef>
              <c:f>'[Диаграмма в Microsoft Word]Лист1'!$C$43:$Z$43</c:f>
              <c:numCache>
                <c:formatCode>General</c:formatCode>
                <c:ptCount val="24"/>
                <c:pt idx="0">
                  <c:v>100</c:v>
                </c:pt>
                <c:pt idx="1">
                  <c:v>23</c:v>
                </c:pt>
                <c:pt idx="2">
                  <c:v>23</c:v>
                </c:pt>
                <c:pt idx="3">
                  <c:v>53</c:v>
                </c:pt>
                <c:pt idx="4">
                  <c:v>36</c:v>
                </c:pt>
                <c:pt idx="5">
                  <c:v>41</c:v>
                </c:pt>
                <c:pt idx="6">
                  <c:v>45</c:v>
                </c:pt>
                <c:pt idx="7">
                  <c:v>45</c:v>
                </c:pt>
                <c:pt idx="8">
                  <c:v>46</c:v>
                </c:pt>
                <c:pt idx="9">
                  <c:v>42</c:v>
                </c:pt>
                <c:pt idx="10">
                  <c:v>50</c:v>
                </c:pt>
                <c:pt idx="11">
                  <c:v>52</c:v>
                </c:pt>
                <c:pt idx="12">
                  <c:v>61</c:v>
                </c:pt>
                <c:pt idx="13">
                  <c:v>60</c:v>
                </c:pt>
                <c:pt idx="14">
                  <c:v>73</c:v>
                </c:pt>
                <c:pt idx="15">
                  <c:v>84</c:v>
                </c:pt>
                <c:pt idx="16">
                  <c:v>81</c:v>
                </c:pt>
                <c:pt idx="17">
                  <c:v>113</c:v>
                </c:pt>
                <c:pt idx="18">
                  <c:v>90</c:v>
                </c:pt>
                <c:pt idx="19">
                  <c:v>88</c:v>
                </c:pt>
                <c:pt idx="20">
                  <c:v>96</c:v>
                </c:pt>
                <c:pt idx="21">
                  <c:v>100</c:v>
                </c:pt>
                <c:pt idx="22">
                  <c:v>103</c:v>
                </c:pt>
                <c:pt idx="23">
                  <c:v>98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33924352"/>
        <c:axId val="133925888"/>
      </c:lineChart>
      <c:catAx>
        <c:axId val="133924352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-5400000" vert="horz"/>
          <a:lstStyle/>
          <a:p>
            <a:pPr>
              <a:defRPr/>
            </a:pPr>
            <a:endParaRPr lang="ru-RU"/>
          </a:p>
        </c:txPr>
        <c:crossAx val="133925888"/>
        <c:crosses val="autoZero"/>
        <c:auto val="1"/>
        <c:lblAlgn val="ctr"/>
        <c:lblOffset val="100"/>
        <c:noMultiLvlLbl val="0"/>
      </c:catAx>
      <c:valAx>
        <c:axId val="133925888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133924352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800"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42988352434593363"/>
          <c:y val="5.0925925925925923E-2"/>
          <c:w val="0.54626129029245007"/>
          <c:h val="0.85026975794692328"/>
        </c:manualLayout>
      </c:layout>
      <c:barChart>
        <c:barDir val="bar"/>
        <c:grouping val="clustered"/>
        <c:varyColors val="0"/>
        <c:ser>
          <c:idx val="0"/>
          <c:order val="0"/>
          <c:spPr>
            <a:solidFill>
              <a:srgbClr val="FFC000"/>
            </a:solidFill>
          </c:spPr>
          <c:invertIfNegative val="0"/>
          <c:dLbls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'[Диаграмма в Microsoft Word]Лист1'!$B$61:$B$68</c:f>
              <c:strCache>
                <c:ptCount val="8"/>
                <c:pt idx="0">
                  <c:v>Другое</c:v>
                </c:pt>
                <c:pt idx="1">
                  <c:v>Инвестиционная деятельность</c:v>
                </c:pt>
                <c:pt idx="2">
                  <c:v>Переработка сырья</c:v>
                </c:pt>
                <c:pt idx="3">
                  <c:v>Привлечение специалистов из других регионов</c:v>
                </c:pt>
                <c:pt idx="4">
                  <c:v>Обмен технология</c:v>
                </c:pt>
                <c:pt idx="5">
                  <c:v>Производственная кооперация</c:v>
                </c:pt>
                <c:pt idx="6">
                  <c:v>Обеспечение сырьем</c:v>
                </c:pt>
                <c:pt idx="7">
                  <c:v>Реализация продукции</c:v>
                </c:pt>
              </c:strCache>
            </c:strRef>
          </c:cat>
          <c:val>
            <c:numRef>
              <c:f>'[Диаграмма в Microsoft Word]Лист1'!$C$61:$C$68</c:f>
              <c:numCache>
                <c:formatCode>General</c:formatCode>
                <c:ptCount val="8"/>
                <c:pt idx="0">
                  <c:v>1.5</c:v>
                </c:pt>
                <c:pt idx="1">
                  <c:v>4.5</c:v>
                </c:pt>
                <c:pt idx="2">
                  <c:v>9</c:v>
                </c:pt>
                <c:pt idx="3">
                  <c:v>10.4</c:v>
                </c:pt>
                <c:pt idx="4">
                  <c:v>10.4</c:v>
                </c:pt>
                <c:pt idx="5">
                  <c:v>11.9</c:v>
                </c:pt>
                <c:pt idx="6">
                  <c:v>58.2</c:v>
                </c:pt>
                <c:pt idx="7">
                  <c:v>74.599999999999994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2892160"/>
        <c:axId val="122621952"/>
      </c:barChart>
      <c:catAx>
        <c:axId val="112892160"/>
        <c:scaling>
          <c:orientation val="minMax"/>
        </c:scaling>
        <c:delete val="0"/>
        <c:axPos val="l"/>
        <c:majorTickMark val="out"/>
        <c:minorTickMark val="none"/>
        <c:tickLblPos val="nextTo"/>
        <c:crossAx val="122621952"/>
        <c:crosses val="autoZero"/>
        <c:auto val="1"/>
        <c:lblAlgn val="ctr"/>
        <c:lblOffset val="100"/>
        <c:noMultiLvlLbl val="0"/>
      </c:catAx>
      <c:valAx>
        <c:axId val="1226219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12892160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800"/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rgbClr val="FFC000"/>
            </a:solidFill>
          </c:spPr>
          <c:invertIfNegative val="0"/>
          <c:dLbls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Лист1!$B$82:$B$86</c:f>
              <c:strCache>
                <c:ptCount val="5"/>
                <c:pt idx="0">
                  <c:v>Другое</c:v>
                </c:pt>
                <c:pt idx="1">
                  <c:v>Нормативно-правовая база</c:v>
                </c:pt>
                <c:pt idx="2">
                  <c:v>Малая ёмкость рынка</c:v>
                </c:pt>
                <c:pt idx="3">
                  <c:v>Высокая конкуренция на рынке</c:v>
                </c:pt>
                <c:pt idx="4">
                  <c:v>Удаленность контрагентов</c:v>
                </c:pt>
              </c:strCache>
            </c:strRef>
          </c:cat>
          <c:val>
            <c:numRef>
              <c:f>Лист1!$C$82:$C$86</c:f>
              <c:numCache>
                <c:formatCode>General</c:formatCode>
                <c:ptCount val="5"/>
                <c:pt idx="0">
                  <c:v>6</c:v>
                </c:pt>
                <c:pt idx="1">
                  <c:v>7.5</c:v>
                </c:pt>
                <c:pt idx="2">
                  <c:v>14.9</c:v>
                </c:pt>
                <c:pt idx="3">
                  <c:v>29.9</c:v>
                </c:pt>
                <c:pt idx="4">
                  <c:v>38.799999999999997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2629504"/>
        <c:axId val="122647680"/>
      </c:barChart>
      <c:catAx>
        <c:axId val="122629504"/>
        <c:scaling>
          <c:orientation val="minMax"/>
        </c:scaling>
        <c:delete val="0"/>
        <c:axPos val="l"/>
        <c:majorTickMark val="out"/>
        <c:minorTickMark val="none"/>
        <c:tickLblPos val="nextTo"/>
        <c:crossAx val="122647680"/>
        <c:crosses val="autoZero"/>
        <c:auto val="1"/>
        <c:lblAlgn val="ctr"/>
        <c:lblOffset val="100"/>
        <c:noMultiLvlLbl val="0"/>
      </c:catAx>
      <c:valAx>
        <c:axId val="1226476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22629504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800"/>
      </a:pPr>
      <a:endParaRPr lang="ru-RU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0.05488</cdr:x>
      <cdr:y>0.34386</cdr:y>
    </cdr:from>
    <cdr:to>
      <cdr:x>0.95569</cdr:x>
      <cdr:y>0.34386</cdr:y>
    </cdr:to>
    <cdr:cxnSp macro="">
      <cdr:nvCxnSpPr>
        <cdr:cNvPr id="3" name="Прямая соединительная линия 2"/>
        <cdr:cNvCxnSpPr/>
      </cdr:nvCxnSpPr>
      <cdr:spPr>
        <a:xfrm xmlns:a="http://schemas.openxmlformats.org/drawingml/2006/main">
          <a:off x="326004" y="938254"/>
          <a:ext cx="5351228" cy="0"/>
        </a:xfrm>
        <a:prstGeom xmlns:a="http://schemas.openxmlformats.org/drawingml/2006/main" prst="line">
          <a:avLst/>
        </a:prstGeom>
        <a:ln xmlns:a="http://schemas.openxmlformats.org/drawingml/2006/main">
          <a:solidFill>
            <a:schemeClr val="tx1"/>
          </a:solidFill>
          <a:prstDash val="sysDash"/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</c:userShap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1189</Words>
  <Characters>6780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 В. Лукин</dc:creator>
  <cp:lastModifiedBy>Евгений В. Лукин</cp:lastModifiedBy>
  <cp:revision>4</cp:revision>
  <dcterms:created xsi:type="dcterms:W3CDTF">2016-06-10T05:43:00Z</dcterms:created>
  <dcterms:modified xsi:type="dcterms:W3CDTF">2016-06-10T05:50:00Z</dcterms:modified>
</cp:coreProperties>
</file>